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F62F8" w14:textId="011F2A6F" w:rsidR="0071767D" w:rsidRPr="0024653A" w:rsidRDefault="00C25351" w:rsidP="00B30A10">
      <w:pPr>
        <w:tabs>
          <w:tab w:val="right" w:pos="9639"/>
        </w:tabs>
        <w:snapToGrid w:val="0"/>
        <w:spacing w:after="0"/>
        <w:rPr>
          <w:rFonts w:ascii="Arial" w:hAnsi="Arial" w:cs="Arial"/>
          <w:b/>
          <w:sz w:val="24"/>
          <w:szCs w:val="24"/>
          <w:lang w:eastAsia="ko-KR"/>
        </w:rPr>
      </w:pPr>
      <w:r>
        <w:rPr>
          <w:rFonts w:ascii="Arial" w:hAnsi="Arial" w:cs="Arial"/>
          <w:b/>
          <w:sz w:val="24"/>
          <w:szCs w:val="24"/>
        </w:rPr>
        <w:t>3GPP TSG-RAN Meeting #10</w:t>
      </w:r>
      <w:r w:rsidR="006D66D5">
        <w:rPr>
          <w:rFonts w:ascii="Arial" w:hAnsi="Arial" w:cs="Arial"/>
          <w:b/>
          <w:sz w:val="24"/>
          <w:szCs w:val="24"/>
        </w:rPr>
        <w:t>0</w:t>
      </w:r>
      <w:r w:rsidR="0071767D" w:rsidRPr="0024653A">
        <w:rPr>
          <w:rFonts w:ascii="Arial" w:hAnsi="Arial" w:cs="Arial"/>
          <w:b/>
          <w:sz w:val="24"/>
          <w:szCs w:val="24"/>
        </w:rPr>
        <w:tab/>
      </w:r>
      <w:r w:rsidR="006535BF" w:rsidRPr="006535BF">
        <w:rPr>
          <w:rFonts w:ascii="Arial" w:hAnsi="Arial" w:cs="Arial"/>
          <w:b/>
          <w:sz w:val="24"/>
          <w:szCs w:val="24"/>
        </w:rPr>
        <w:t>R</w:t>
      </w:r>
      <w:r w:rsidR="006D66D5">
        <w:rPr>
          <w:rFonts w:ascii="Arial" w:hAnsi="Arial" w:cs="Arial" w:hint="eastAsia"/>
          <w:b/>
          <w:sz w:val="24"/>
          <w:szCs w:val="24"/>
        </w:rPr>
        <w:t>P</w:t>
      </w:r>
      <w:r w:rsidR="006535BF" w:rsidRPr="006535BF">
        <w:rPr>
          <w:rFonts w:ascii="Arial" w:hAnsi="Arial" w:cs="Arial"/>
          <w:b/>
          <w:sz w:val="24"/>
          <w:szCs w:val="24"/>
        </w:rPr>
        <w:t>-23</w:t>
      </w:r>
      <w:r w:rsidR="00B30A10">
        <w:rPr>
          <w:rFonts w:ascii="Arial" w:hAnsi="Arial" w:cs="Arial"/>
          <w:b/>
          <w:sz w:val="24"/>
          <w:szCs w:val="24"/>
        </w:rPr>
        <w:t>1326</w:t>
      </w:r>
    </w:p>
    <w:p w14:paraId="76B4917E" w14:textId="64F318C8" w:rsidR="0071767D" w:rsidRPr="0024653A" w:rsidRDefault="006D66D5" w:rsidP="0071767D">
      <w:pPr>
        <w:tabs>
          <w:tab w:val="left" w:pos="1985"/>
        </w:tabs>
        <w:spacing w:after="240"/>
        <w:ind w:left="1979" w:hanging="1979"/>
        <w:rPr>
          <w:rFonts w:ascii="Arial" w:hAnsi="Arial" w:cs="Arial"/>
          <w:b/>
          <w:sz w:val="24"/>
          <w:szCs w:val="24"/>
        </w:rPr>
      </w:pPr>
      <w:r>
        <w:rPr>
          <w:rFonts w:ascii="Arial" w:hAnsi="Arial" w:cs="Arial" w:hint="eastAsia"/>
          <w:b/>
          <w:sz w:val="24"/>
          <w:szCs w:val="24"/>
        </w:rPr>
        <w:t>Taipei</w:t>
      </w:r>
      <w:r w:rsidR="00B25D45" w:rsidRPr="00B25D45">
        <w:rPr>
          <w:rFonts w:ascii="Arial" w:hAnsi="Arial" w:cs="Arial"/>
          <w:b/>
          <w:sz w:val="24"/>
          <w:szCs w:val="24"/>
        </w:rPr>
        <w:t xml:space="preserve">, </w:t>
      </w:r>
      <w:r>
        <w:rPr>
          <w:rFonts w:ascii="Arial" w:hAnsi="Arial" w:cs="Arial" w:hint="eastAsia"/>
          <w:b/>
          <w:sz w:val="24"/>
          <w:szCs w:val="24"/>
        </w:rPr>
        <w:t>June</w:t>
      </w:r>
      <w:r w:rsidR="00B25D45" w:rsidRPr="00B25D45">
        <w:rPr>
          <w:rFonts w:ascii="Arial" w:hAnsi="Arial" w:cs="Arial"/>
          <w:b/>
          <w:sz w:val="24"/>
          <w:szCs w:val="24"/>
        </w:rPr>
        <w:t xml:space="preserve"> </w:t>
      </w:r>
      <w:r>
        <w:rPr>
          <w:rFonts w:ascii="Arial" w:hAnsi="Arial" w:cs="Arial"/>
          <w:b/>
          <w:sz w:val="24"/>
          <w:szCs w:val="24"/>
        </w:rPr>
        <w:t>1</w:t>
      </w:r>
      <w:r w:rsidR="00B25D45" w:rsidRPr="00B25D45">
        <w:rPr>
          <w:rFonts w:ascii="Arial" w:hAnsi="Arial" w:cs="Arial"/>
          <w:b/>
          <w:sz w:val="24"/>
          <w:szCs w:val="24"/>
        </w:rPr>
        <w:t xml:space="preserve">2 – </w:t>
      </w:r>
      <w:r>
        <w:rPr>
          <w:rFonts w:ascii="Arial" w:hAnsi="Arial" w:cs="Arial"/>
          <w:b/>
          <w:sz w:val="24"/>
          <w:szCs w:val="24"/>
        </w:rPr>
        <w:t>15</w:t>
      </w:r>
      <w:r w:rsidR="00B25D45" w:rsidRPr="00B25D45">
        <w:rPr>
          <w:rFonts w:ascii="Arial" w:hAnsi="Arial" w:cs="Arial"/>
          <w:b/>
          <w:sz w:val="24"/>
          <w:szCs w:val="24"/>
        </w:rPr>
        <w:t>, 2023</w:t>
      </w:r>
      <w:r w:rsidR="0071767D" w:rsidRPr="0024653A">
        <w:rPr>
          <w:rFonts w:ascii="Arial" w:hAnsi="Arial" w:cs="Arial"/>
          <w:b/>
          <w:sz w:val="24"/>
          <w:szCs w:val="24"/>
        </w:rPr>
        <w:tab/>
      </w:r>
    </w:p>
    <w:p w14:paraId="662C52C8" w14:textId="013491CA" w:rsidR="00151CDF" w:rsidRPr="00151CDF" w:rsidRDefault="00151CDF" w:rsidP="00151CDF">
      <w:pPr>
        <w:widowControl/>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w:t>
      </w:r>
      <w:r w:rsidR="006A6289">
        <w:rPr>
          <w:rFonts w:ascii="Arial" w:hAnsi="Arial" w:cs="Arial" w:hint="eastAsia"/>
          <w:color w:val="000000"/>
          <w:kern w:val="0"/>
          <w:sz w:val="22"/>
          <w:szCs w:val="20"/>
          <w:lang w:val="en-GB"/>
        </w:rPr>
        <w:t>S</w:t>
      </w:r>
      <w:r w:rsidRPr="00151CDF">
        <w:rPr>
          <w:rFonts w:ascii="Arial" w:hAnsi="Arial" w:cs="Arial"/>
          <w:color w:val="000000"/>
          <w:kern w:val="0"/>
          <w:sz w:val="22"/>
          <w:szCs w:val="20"/>
          <w:lang w:val="en-GB"/>
        </w:rPr>
        <w:t>ilicon</w:t>
      </w:r>
    </w:p>
    <w:p w14:paraId="4D70B393" w14:textId="6237C489" w:rsidR="00151CDF" w:rsidRPr="00151CDF" w:rsidRDefault="00151CDF" w:rsidP="00151CDF">
      <w:pPr>
        <w:widowControl/>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6D66D5" w:rsidRPr="006D66D5">
        <w:rPr>
          <w:rFonts w:ascii="Arial" w:eastAsia="MS Mincho" w:hAnsi="Arial" w:cs="Arial"/>
          <w:color w:val="000000"/>
          <w:kern w:val="0"/>
          <w:sz w:val="22"/>
          <w:szCs w:val="20"/>
          <w:lang w:val="en-GB" w:eastAsia="ja-JP"/>
        </w:rPr>
        <w:t>Discuss</w:t>
      </w:r>
      <w:r w:rsidR="006D66D5">
        <w:rPr>
          <w:rFonts w:ascii="Arial" w:eastAsia="MS Mincho" w:hAnsi="Arial" w:cs="Arial"/>
          <w:color w:val="000000"/>
          <w:kern w:val="0"/>
          <w:sz w:val="22"/>
          <w:szCs w:val="20"/>
          <w:lang w:val="en-GB" w:eastAsia="ja-JP"/>
        </w:rPr>
        <w:t>i</w:t>
      </w:r>
      <w:r w:rsidR="006D66D5" w:rsidRPr="006D66D5">
        <w:rPr>
          <w:rFonts w:ascii="Arial" w:eastAsia="MS Mincho" w:hAnsi="Arial" w:cs="Arial"/>
          <w:color w:val="000000"/>
          <w:kern w:val="0"/>
          <w:sz w:val="22"/>
          <w:szCs w:val="20"/>
          <w:lang w:val="en-GB" w:eastAsia="ja-JP"/>
        </w:rPr>
        <w:t xml:space="preserve">on on </w:t>
      </w:r>
      <w:proofErr w:type="spellStart"/>
      <w:r w:rsidR="006D66D5" w:rsidRPr="006D66D5">
        <w:rPr>
          <w:rFonts w:ascii="Arial" w:eastAsia="MS Mincho" w:hAnsi="Arial" w:cs="Arial"/>
          <w:color w:val="000000"/>
          <w:kern w:val="0"/>
          <w:sz w:val="22"/>
          <w:szCs w:val="20"/>
          <w:lang w:val="en-GB" w:eastAsia="ja-JP"/>
        </w:rPr>
        <w:t>intraBand</w:t>
      </w:r>
      <w:proofErr w:type="spellEnd"/>
      <w:r w:rsidR="006D66D5" w:rsidRPr="006D66D5">
        <w:rPr>
          <w:rFonts w:ascii="Arial" w:eastAsia="MS Mincho" w:hAnsi="Arial" w:cs="Arial"/>
          <w:color w:val="000000"/>
          <w:kern w:val="0"/>
          <w:sz w:val="22"/>
          <w:szCs w:val="20"/>
          <w:lang w:val="en-GB" w:eastAsia="ja-JP"/>
        </w:rPr>
        <w:t xml:space="preserve"> ENDC-support</w:t>
      </w:r>
    </w:p>
    <w:p w14:paraId="77A5DDF9" w14:textId="587D57FA" w:rsidR="00151CDF" w:rsidRPr="00151CDF" w:rsidRDefault="00151CDF" w:rsidP="00151CDF">
      <w:pPr>
        <w:widowControl/>
        <w:tabs>
          <w:tab w:val="left" w:pos="284"/>
          <w:tab w:val="left" w:pos="568"/>
          <w:tab w:val="left" w:pos="852"/>
          <w:tab w:val="left" w:pos="1136"/>
          <w:tab w:val="left" w:pos="1420"/>
          <w:tab w:val="left" w:pos="1704"/>
          <w:tab w:val="left" w:pos="1988"/>
          <w:tab w:val="left" w:pos="4215"/>
        </w:tabs>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6D66D5">
        <w:rPr>
          <w:rFonts w:ascii="Arial" w:eastAsia="MS Mincho" w:hAnsi="Arial" w:cs="Arial"/>
          <w:color w:val="000000"/>
          <w:kern w:val="0"/>
          <w:sz w:val="22"/>
          <w:szCs w:val="20"/>
          <w:lang w:val="pt-BR" w:eastAsia="ja-JP"/>
        </w:rPr>
        <w:t>9</w:t>
      </w:r>
      <w:r w:rsidR="00AA70DF">
        <w:rPr>
          <w:rFonts w:ascii="Arial" w:eastAsia="MS Mincho" w:hAnsi="Arial" w:cs="Arial"/>
          <w:color w:val="000000"/>
          <w:kern w:val="0"/>
          <w:sz w:val="22"/>
          <w:szCs w:val="20"/>
          <w:lang w:val="pt-BR" w:eastAsia="ja-JP"/>
        </w:rPr>
        <w:t>.</w:t>
      </w:r>
      <w:r w:rsidR="006D66D5">
        <w:rPr>
          <w:rFonts w:ascii="Arial" w:eastAsia="MS Mincho" w:hAnsi="Arial" w:cs="Arial"/>
          <w:color w:val="000000"/>
          <w:kern w:val="0"/>
          <w:sz w:val="22"/>
          <w:szCs w:val="20"/>
          <w:lang w:val="pt-BR" w:eastAsia="ja-JP"/>
        </w:rPr>
        <w:t>9</w:t>
      </w:r>
    </w:p>
    <w:p w14:paraId="314195EA" w14:textId="03846053" w:rsidR="00151CDF" w:rsidRPr="00151CDF" w:rsidRDefault="00151CDF" w:rsidP="00151CDF">
      <w:pPr>
        <w:widowControl/>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8013DA" w:rsidRPr="008013DA">
        <w:rPr>
          <w:rFonts w:ascii="Arial" w:eastAsia="MS Mincho" w:hAnsi="Arial" w:cs="Arial" w:hint="eastAsia"/>
          <w:color w:val="000000"/>
          <w:kern w:val="0"/>
          <w:sz w:val="22"/>
          <w:szCs w:val="20"/>
          <w:lang w:val="en-GB" w:eastAsia="ja-JP"/>
        </w:rPr>
        <w:t>Discussio</w:t>
      </w:r>
      <w:r w:rsidR="008013DA" w:rsidRPr="008013DA">
        <w:rPr>
          <w:rFonts w:ascii="Arial" w:eastAsia="MS Mincho" w:hAnsi="Arial" w:cs="Arial"/>
          <w:color w:val="000000"/>
          <w:kern w:val="0"/>
          <w:sz w:val="22"/>
          <w:szCs w:val="20"/>
          <w:lang w:val="en-GB" w:eastAsia="ja-JP"/>
        </w:rPr>
        <w:t>n and Decision</w:t>
      </w:r>
      <w:bookmarkStart w:id="0" w:name="_GoBack"/>
      <w:bookmarkEnd w:id="0"/>
    </w:p>
    <w:p w14:paraId="376F651A" w14:textId="77777777" w:rsidR="000C74C9" w:rsidRDefault="000C74C9" w:rsidP="009957D3">
      <w:pPr>
        <w:keepNext/>
        <w:keepLines/>
        <w:widowControl/>
        <w:pBdr>
          <w:top w:val="single" w:sz="12" w:space="1" w:color="auto"/>
        </w:pBdr>
        <w:tabs>
          <w:tab w:val="left" w:pos="567"/>
        </w:tabs>
        <w:adjustRightInd w:val="0"/>
        <w:spacing w:before="24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327A8968" w14:textId="1CD4CBDA" w:rsidR="004C109A" w:rsidRDefault="00F70CF3" w:rsidP="00DC131D">
      <w:pPr>
        <w:widowControl/>
        <w:overflowPunct w:val="0"/>
        <w:autoSpaceDE w:val="0"/>
        <w:autoSpaceDN w:val="0"/>
        <w:adjustRightInd w:val="0"/>
        <w:snapToGrid w:val="0"/>
        <w:spacing w:before="60"/>
        <w:textAlignment w:val="baseline"/>
        <w:rPr>
          <w:kern w:val="0"/>
          <w:sz w:val="20"/>
        </w:rPr>
      </w:pPr>
      <w:r w:rsidRPr="00174A0E">
        <w:rPr>
          <w:kern w:val="0"/>
          <w:sz w:val="20"/>
        </w:rPr>
        <w:t xml:space="preserve">In the </w:t>
      </w:r>
      <w:r w:rsidR="004C109A" w:rsidRPr="00174A0E">
        <w:rPr>
          <w:kern w:val="0"/>
          <w:sz w:val="20"/>
        </w:rPr>
        <w:t>contribution</w:t>
      </w:r>
      <w:r w:rsidRPr="00174A0E">
        <w:rPr>
          <w:kern w:val="0"/>
          <w:sz w:val="20"/>
        </w:rPr>
        <w:t>,</w:t>
      </w:r>
      <w:r w:rsidR="004C109A" w:rsidRPr="00174A0E">
        <w:rPr>
          <w:kern w:val="0"/>
          <w:sz w:val="20"/>
        </w:rPr>
        <w:t xml:space="preserve"> </w:t>
      </w:r>
      <w:r w:rsidR="004276A4" w:rsidRPr="00174A0E">
        <w:rPr>
          <w:kern w:val="0"/>
          <w:sz w:val="20"/>
        </w:rPr>
        <w:t xml:space="preserve">we discuss the </w:t>
      </w:r>
      <w:r w:rsidR="00CE5453" w:rsidRPr="00CE5453">
        <w:rPr>
          <w:kern w:val="0"/>
          <w:sz w:val="20"/>
        </w:rPr>
        <w:t>inconsistency</w:t>
      </w:r>
      <w:r w:rsidR="00CE5453">
        <w:rPr>
          <w:kern w:val="0"/>
          <w:sz w:val="20"/>
        </w:rPr>
        <w:t xml:space="preserve"> issue</w:t>
      </w:r>
      <w:r w:rsidR="00CE5453" w:rsidRPr="00CE5453">
        <w:rPr>
          <w:kern w:val="0"/>
          <w:sz w:val="20"/>
        </w:rPr>
        <w:t xml:space="preserve"> of intra-band EN-DC configuration</w:t>
      </w:r>
      <w:r w:rsidRPr="00174A0E">
        <w:rPr>
          <w:kern w:val="0"/>
          <w:sz w:val="20"/>
        </w:rPr>
        <w:t>.</w:t>
      </w:r>
      <w:r w:rsidR="00016776">
        <w:rPr>
          <w:kern w:val="0"/>
          <w:sz w:val="20"/>
        </w:rPr>
        <w:t xml:space="preserve"> The case3 and case4 have been confirm</w:t>
      </w:r>
      <w:r w:rsidR="00F87806">
        <w:rPr>
          <w:kern w:val="0"/>
          <w:sz w:val="20"/>
        </w:rPr>
        <w:t>ed</w:t>
      </w:r>
      <w:r w:rsidR="00016776">
        <w:rPr>
          <w:kern w:val="0"/>
          <w:sz w:val="20"/>
        </w:rPr>
        <w:t xml:space="preserve"> to be valid in RAN4.</w:t>
      </w:r>
    </w:p>
    <w:p w14:paraId="59B18163" w14:textId="77777777" w:rsidR="00016776" w:rsidRPr="00FE3821" w:rsidRDefault="00016776" w:rsidP="00016776">
      <w:pPr>
        <w:pStyle w:val="a9"/>
        <w:numPr>
          <w:ilvl w:val="0"/>
          <w:numId w:val="27"/>
        </w:numPr>
        <w:snapToGrid w:val="0"/>
        <w:spacing w:after="60"/>
        <w:ind w:left="714" w:firstLineChars="0" w:hanging="357"/>
        <w:rPr>
          <w:sz w:val="20"/>
          <w:szCs w:val="20"/>
        </w:rPr>
      </w:pPr>
      <w:r w:rsidRPr="00FE3821">
        <w:rPr>
          <w:sz w:val="20"/>
          <w:szCs w:val="20"/>
        </w:rPr>
        <w:t xml:space="preserve">Case 3: All CCs are contiguous in DL but neither carrier is contiguous to each other in UL, including </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2"/>
        <w:gridCol w:w="1856"/>
      </w:tblGrid>
      <w:tr w:rsidR="00016776" w:rsidRPr="00FE3821" w14:paraId="0ED95E35" w14:textId="77777777" w:rsidTr="0008424A">
        <w:trPr>
          <w:trHeight w:val="145"/>
          <w:jc w:val="center"/>
        </w:trPr>
        <w:tc>
          <w:tcPr>
            <w:tcW w:w="2160" w:type="pct"/>
            <w:shd w:val="clear" w:color="auto" w:fill="auto"/>
            <w:noWrap/>
          </w:tcPr>
          <w:p w14:paraId="09BD9533" w14:textId="77777777" w:rsidR="00016776" w:rsidRPr="00B30A10" w:rsidRDefault="00016776" w:rsidP="00B30A10">
            <w:pPr>
              <w:pStyle w:val="TAH"/>
              <w:snapToGrid w:val="0"/>
              <w:spacing w:after="0"/>
              <w:rPr>
                <w:rFonts w:cs="Arial"/>
                <w:lang w:eastAsia="fi-FI"/>
              </w:rPr>
            </w:pPr>
            <w:r w:rsidRPr="00B30A10">
              <w:rPr>
                <w:rFonts w:cs="Arial"/>
                <w:lang w:eastAsia="fi-FI"/>
              </w:rPr>
              <w:t>EN-DC</w:t>
            </w:r>
          </w:p>
          <w:p w14:paraId="49117E06" w14:textId="77777777" w:rsidR="00016776" w:rsidRPr="00B30A10" w:rsidRDefault="00016776" w:rsidP="00B30A10">
            <w:pPr>
              <w:pStyle w:val="TAH"/>
              <w:snapToGrid w:val="0"/>
              <w:spacing w:after="0"/>
              <w:rPr>
                <w:rFonts w:cs="Arial"/>
                <w:lang w:eastAsia="fi-FI"/>
              </w:rPr>
            </w:pPr>
            <w:r w:rsidRPr="00B30A10">
              <w:rPr>
                <w:rFonts w:cs="Arial"/>
                <w:lang w:eastAsia="fi-FI"/>
              </w:rPr>
              <w:t>configuration</w:t>
            </w:r>
          </w:p>
        </w:tc>
        <w:tc>
          <w:tcPr>
            <w:tcW w:w="2840" w:type="pct"/>
          </w:tcPr>
          <w:p w14:paraId="3F1C845F" w14:textId="77777777" w:rsidR="00016776" w:rsidRPr="00B30A10" w:rsidRDefault="00016776" w:rsidP="00B30A10">
            <w:pPr>
              <w:pStyle w:val="TAH"/>
              <w:snapToGrid w:val="0"/>
              <w:spacing w:after="0"/>
              <w:rPr>
                <w:rFonts w:cs="Arial"/>
                <w:lang w:val="fr-FR" w:eastAsia="fi-FI"/>
              </w:rPr>
            </w:pPr>
            <w:r w:rsidRPr="00B30A10">
              <w:rPr>
                <w:rFonts w:cs="Arial"/>
                <w:lang w:val="fr-FR" w:eastAsia="fi-FI"/>
              </w:rPr>
              <w:t>Uplink EN-DC</w:t>
            </w:r>
          </w:p>
          <w:p w14:paraId="440F0255" w14:textId="77777777" w:rsidR="00016776" w:rsidRPr="00B30A10" w:rsidRDefault="00016776" w:rsidP="00B30A10">
            <w:pPr>
              <w:pStyle w:val="TAH"/>
              <w:snapToGrid w:val="0"/>
              <w:spacing w:after="0"/>
              <w:rPr>
                <w:rFonts w:cs="Arial"/>
                <w:lang w:val="fr-FR" w:eastAsia="fi-FI"/>
              </w:rPr>
            </w:pPr>
            <w:r w:rsidRPr="00B30A10">
              <w:rPr>
                <w:rFonts w:cs="Arial"/>
                <w:lang w:val="fr-FR" w:eastAsia="fi-FI"/>
              </w:rPr>
              <w:t>configuration</w:t>
            </w:r>
          </w:p>
        </w:tc>
      </w:tr>
      <w:tr w:rsidR="00016776" w:rsidRPr="00FE3821" w14:paraId="60CBF3B1" w14:textId="77777777" w:rsidTr="0008424A">
        <w:trPr>
          <w:trHeight w:val="145"/>
          <w:jc w:val="center"/>
        </w:trPr>
        <w:tc>
          <w:tcPr>
            <w:tcW w:w="2160" w:type="pct"/>
            <w:shd w:val="clear" w:color="auto" w:fill="auto"/>
            <w:noWrap/>
          </w:tcPr>
          <w:p w14:paraId="43FFDD3D" w14:textId="77777777" w:rsidR="00016776" w:rsidRPr="00B30A10" w:rsidRDefault="00016776" w:rsidP="00B30A10">
            <w:pPr>
              <w:pStyle w:val="TAC"/>
              <w:snapToGrid w:val="0"/>
              <w:spacing w:after="0"/>
              <w:rPr>
                <w:rFonts w:cs="Arial"/>
                <w:lang w:eastAsia="zh-TW"/>
              </w:rPr>
            </w:pPr>
            <w:r w:rsidRPr="00B30A10">
              <w:rPr>
                <w:rFonts w:cs="Arial"/>
                <w:lang w:eastAsia="zh-CN"/>
              </w:rPr>
              <w:t>DC_(n)48CA</w:t>
            </w:r>
          </w:p>
        </w:tc>
        <w:tc>
          <w:tcPr>
            <w:tcW w:w="2840" w:type="pct"/>
          </w:tcPr>
          <w:p w14:paraId="49D739A9" w14:textId="77777777" w:rsidR="00016776" w:rsidRPr="00B30A10" w:rsidRDefault="00016776" w:rsidP="00B30A10">
            <w:pPr>
              <w:pStyle w:val="TAC"/>
              <w:snapToGrid w:val="0"/>
              <w:spacing w:after="0"/>
              <w:rPr>
                <w:rFonts w:cs="Arial"/>
                <w:lang w:eastAsia="zh-TW"/>
              </w:rPr>
            </w:pPr>
            <w:r w:rsidRPr="00B30A10">
              <w:rPr>
                <w:rFonts w:eastAsia="PMingLiU" w:cs="Arial"/>
                <w:lang w:eastAsia="zh-TW"/>
              </w:rPr>
              <w:t>DC_</w:t>
            </w:r>
            <w:r w:rsidRPr="00B30A10">
              <w:rPr>
                <w:rFonts w:cs="Arial"/>
                <w:lang w:eastAsia="zh-CN"/>
              </w:rPr>
              <w:t>48A_n48A</w:t>
            </w:r>
          </w:p>
        </w:tc>
      </w:tr>
      <w:tr w:rsidR="00016776" w:rsidRPr="00FE3821" w14:paraId="4AD08604" w14:textId="77777777" w:rsidTr="0008424A">
        <w:trPr>
          <w:trHeight w:val="145"/>
          <w:jc w:val="center"/>
        </w:trPr>
        <w:tc>
          <w:tcPr>
            <w:tcW w:w="2160" w:type="pct"/>
            <w:shd w:val="clear" w:color="auto" w:fill="auto"/>
            <w:noWrap/>
          </w:tcPr>
          <w:p w14:paraId="0B50AB57" w14:textId="77777777" w:rsidR="00016776" w:rsidRPr="00B30A10" w:rsidRDefault="00016776" w:rsidP="00B30A10">
            <w:pPr>
              <w:pStyle w:val="TAC"/>
              <w:snapToGrid w:val="0"/>
              <w:spacing w:after="0"/>
              <w:rPr>
                <w:rFonts w:cs="Arial"/>
                <w:lang w:eastAsia="zh-TW"/>
              </w:rPr>
            </w:pPr>
            <w:r w:rsidRPr="00B30A10">
              <w:rPr>
                <w:rFonts w:cs="Arial"/>
                <w:lang w:eastAsia="zh-CN"/>
              </w:rPr>
              <w:t>DC_(n)48DA</w:t>
            </w:r>
          </w:p>
        </w:tc>
        <w:tc>
          <w:tcPr>
            <w:tcW w:w="2840" w:type="pct"/>
          </w:tcPr>
          <w:p w14:paraId="30C9DA82" w14:textId="77777777" w:rsidR="00016776" w:rsidRPr="00B30A10" w:rsidRDefault="00016776" w:rsidP="00B30A10">
            <w:pPr>
              <w:pStyle w:val="TAC"/>
              <w:snapToGrid w:val="0"/>
              <w:spacing w:after="0"/>
              <w:rPr>
                <w:rFonts w:cs="Arial"/>
                <w:lang w:eastAsia="zh-TW"/>
              </w:rPr>
            </w:pPr>
            <w:r w:rsidRPr="00B30A10">
              <w:rPr>
                <w:rFonts w:eastAsia="PMingLiU" w:cs="Arial"/>
                <w:lang w:eastAsia="zh-TW"/>
              </w:rPr>
              <w:t>DC_</w:t>
            </w:r>
            <w:r w:rsidRPr="00B30A10">
              <w:rPr>
                <w:rFonts w:cs="Arial"/>
                <w:lang w:eastAsia="zh-CN"/>
              </w:rPr>
              <w:t>48A_n48A</w:t>
            </w:r>
          </w:p>
        </w:tc>
      </w:tr>
    </w:tbl>
    <w:p w14:paraId="3CB22AA9" w14:textId="77777777" w:rsidR="00016776" w:rsidRPr="00FE3821" w:rsidRDefault="00016776" w:rsidP="00016776">
      <w:pPr>
        <w:pStyle w:val="a9"/>
        <w:numPr>
          <w:ilvl w:val="0"/>
          <w:numId w:val="27"/>
        </w:numPr>
        <w:snapToGrid w:val="0"/>
        <w:spacing w:before="60" w:after="60"/>
        <w:ind w:left="714" w:firstLineChars="0" w:hanging="357"/>
        <w:rPr>
          <w:sz w:val="20"/>
          <w:szCs w:val="20"/>
        </w:rPr>
      </w:pPr>
      <w:r w:rsidRPr="00FE3821">
        <w:rPr>
          <w:rFonts w:eastAsia="Malgun Gothic"/>
          <w:color w:val="000000"/>
          <w:sz w:val="20"/>
          <w:szCs w:val="20"/>
          <w:lang w:eastAsia="ko-KR"/>
        </w:rPr>
        <w:t>Case 4: One of LTE carriers and the NR carrier are contiguous in DL, contiguous and non-contiguous are both supported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687"/>
      </w:tblGrid>
      <w:tr w:rsidR="00016776" w:rsidRPr="00FE3821" w14:paraId="64A086BE" w14:textId="77777777" w:rsidTr="0008424A">
        <w:trPr>
          <w:trHeight w:val="145"/>
          <w:jc w:val="center"/>
        </w:trPr>
        <w:tc>
          <w:tcPr>
            <w:tcW w:w="2384" w:type="pct"/>
            <w:shd w:val="clear" w:color="auto" w:fill="auto"/>
            <w:noWrap/>
          </w:tcPr>
          <w:p w14:paraId="1A1B5BC1" w14:textId="77777777" w:rsidR="00016776" w:rsidRPr="00B30A10" w:rsidRDefault="00016776" w:rsidP="00B30A10">
            <w:pPr>
              <w:pStyle w:val="TAH"/>
              <w:snapToGrid w:val="0"/>
              <w:spacing w:after="0"/>
              <w:rPr>
                <w:rFonts w:cs="Arial"/>
                <w:lang w:eastAsia="fi-FI"/>
              </w:rPr>
            </w:pPr>
            <w:r w:rsidRPr="00B30A10">
              <w:rPr>
                <w:rFonts w:cs="Arial"/>
                <w:lang w:eastAsia="fi-FI"/>
              </w:rPr>
              <w:t>EN-DC</w:t>
            </w:r>
          </w:p>
          <w:p w14:paraId="269BC418" w14:textId="77777777" w:rsidR="00016776" w:rsidRPr="00B30A10" w:rsidRDefault="00016776" w:rsidP="00B30A10">
            <w:pPr>
              <w:pStyle w:val="TAH"/>
              <w:snapToGrid w:val="0"/>
              <w:spacing w:after="0"/>
              <w:rPr>
                <w:rFonts w:cs="Arial"/>
                <w:lang w:eastAsia="fi-FI"/>
              </w:rPr>
            </w:pPr>
            <w:r w:rsidRPr="00B30A10">
              <w:rPr>
                <w:rFonts w:cs="Arial"/>
                <w:lang w:eastAsia="fi-FI"/>
              </w:rPr>
              <w:t>configuration</w:t>
            </w:r>
          </w:p>
        </w:tc>
        <w:tc>
          <w:tcPr>
            <w:tcW w:w="2616" w:type="pct"/>
          </w:tcPr>
          <w:p w14:paraId="40BEA369" w14:textId="77777777" w:rsidR="00016776" w:rsidRPr="00B30A10" w:rsidRDefault="00016776" w:rsidP="00B30A10">
            <w:pPr>
              <w:pStyle w:val="TAH"/>
              <w:snapToGrid w:val="0"/>
              <w:spacing w:after="0"/>
              <w:rPr>
                <w:rFonts w:cs="Arial"/>
                <w:lang w:val="fr-FR" w:eastAsia="fi-FI"/>
              </w:rPr>
            </w:pPr>
            <w:r w:rsidRPr="00B30A10">
              <w:rPr>
                <w:rFonts w:cs="Arial"/>
                <w:lang w:val="fr-FR" w:eastAsia="fi-FI"/>
              </w:rPr>
              <w:t>Uplink EN-DC</w:t>
            </w:r>
          </w:p>
          <w:p w14:paraId="6C8FD30D" w14:textId="77777777" w:rsidR="00016776" w:rsidRPr="00B30A10" w:rsidRDefault="00016776" w:rsidP="00B30A10">
            <w:pPr>
              <w:pStyle w:val="TAH"/>
              <w:snapToGrid w:val="0"/>
              <w:spacing w:after="0"/>
              <w:rPr>
                <w:rFonts w:cs="Arial"/>
                <w:lang w:val="fr-FR" w:eastAsia="fi-FI"/>
              </w:rPr>
            </w:pPr>
            <w:r w:rsidRPr="00B30A10">
              <w:rPr>
                <w:rFonts w:cs="Arial"/>
                <w:lang w:val="fr-FR" w:eastAsia="fi-FI"/>
              </w:rPr>
              <w:t>configuration</w:t>
            </w:r>
          </w:p>
        </w:tc>
      </w:tr>
      <w:tr w:rsidR="00016776" w:rsidRPr="00FE3821" w14:paraId="33FB05AB" w14:textId="77777777" w:rsidTr="0008424A">
        <w:trPr>
          <w:trHeight w:val="145"/>
          <w:jc w:val="center"/>
        </w:trPr>
        <w:tc>
          <w:tcPr>
            <w:tcW w:w="2384" w:type="pct"/>
            <w:shd w:val="clear" w:color="auto" w:fill="auto"/>
            <w:noWrap/>
            <w:vAlign w:val="center"/>
          </w:tcPr>
          <w:p w14:paraId="7D5E0BF3" w14:textId="77777777" w:rsidR="00016776" w:rsidRPr="00B30A10" w:rsidRDefault="00016776" w:rsidP="00B30A10">
            <w:pPr>
              <w:pStyle w:val="TAC"/>
              <w:snapToGrid w:val="0"/>
              <w:spacing w:after="0"/>
              <w:rPr>
                <w:rFonts w:eastAsia="PMingLiU" w:cs="Arial"/>
                <w:vertAlign w:val="superscript"/>
                <w:lang w:val="de-DE" w:eastAsia="zh-TW"/>
              </w:rPr>
            </w:pPr>
            <w:r w:rsidRPr="00B30A10">
              <w:rPr>
                <w:rFonts w:cs="Arial"/>
                <w:lang w:val="de-DE" w:eastAsia="fi-FI"/>
              </w:rPr>
              <w:t>DC_48A_(n)48A</w:t>
            </w:r>
            <w:r w:rsidRPr="00B30A10">
              <w:rPr>
                <w:rFonts w:cs="Arial"/>
                <w:lang w:val="de-DE" w:eastAsia="zh-CN"/>
              </w:rPr>
              <w:t>A</w:t>
            </w:r>
          </w:p>
        </w:tc>
        <w:tc>
          <w:tcPr>
            <w:tcW w:w="2616" w:type="pct"/>
          </w:tcPr>
          <w:p w14:paraId="1BFD5CD2" w14:textId="77777777" w:rsidR="00016776" w:rsidRPr="00B30A10" w:rsidRDefault="00016776" w:rsidP="00B30A10">
            <w:pPr>
              <w:pStyle w:val="TAC"/>
              <w:snapToGrid w:val="0"/>
              <w:spacing w:after="0"/>
              <w:rPr>
                <w:rFonts w:cs="Arial"/>
                <w:lang w:eastAsia="fi-FI"/>
              </w:rPr>
            </w:pPr>
            <w:r w:rsidRPr="00B30A10">
              <w:rPr>
                <w:rFonts w:cs="Arial"/>
                <w:lang w:eastAsia="fi-FI"/>
              </w:rPr>
              <w:t>DC_(n)48AA</w:t>
            </w:r>
          </w:p>
          <w:p w14:paraId="61DE9B5C" w14:textId="77777777" w:rsidR="00016776" w:rsidRPr="00B30A10" w:rsidRDefault="00016776" w:rsidP="00B30A10">
            <w:pPr>
              <w:pStyle w:val="TAC"/>
              <w:snapToGrid w:val="0"/>
              <w:spacing w:after="0"/>
              <w:rPr>
                <w:rFonts w:cs="Arial"/>
                <w:lang w:eastAsia="fi-FI"/>
              </w:rPr>
            </w:pPr>
            <w:r w:rsidRPr="00B30A10">
              <w:rPr>
                <w:rFonts w:cs="Arial"/>
                <w:lang w:eastAsia="fi-FI"/>
              </w:rPr>
              <w:t>DC_48A_n48A</w:t>
            </w:r>
          </w:p>
        </w:tc>
      </w:tr>
    </w:tbl>
    <w:p w14:paraId="47B0DEB7" w14:textId="77777777" w:rsid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37794C09" w14:textId="3A4AF8BA" w:rsidR="00EB182B" w:rsidRDefault="00EB182B" w:rsidP="00EB182B">
      <w:pPr>
        <w:pStyle w:val="3"/>
        <w:spacing w:after="0"/>
      </w:pPr>
      <w:r w:rsidRPr="00C32AF4">
        <w:t>2.1</w:t>
      </w:r>
      <w:r w:rsidR="00966FF1">
        <w:t>.</w:t>
      </w:r>
      <w:r w:rsidRPr="00C32AF4">
        <w:t xml:space="preserve"> </w:t>
      </w:r>
      <w:r>
        <w:t>Progress in RAN2 and RAN4</w:t>
      </w:r>
    </w:p>
    <w:p w14:paraId="1BFB422D" w14:textId="1ED3370C" w:rsidR="00815151" w:rsidRDefault="00EB182B" w:rsidP="002E5569">
      <w:pPr>
        <w:snapToGrid w:val="0"/>
        <w:rPr>
          <w:sz w:val="20"/>
        </w:rPr>
      </w:pPr>
      <w:r w:rsidRPr="00F200CA">
        <w:rPr>
          <w:sz w:val="20"/>
        </w:rPr>
        <w:t xml:space="preserve">The inconsistency issue of intra-band EN-DC configuration </w:t>
      </w:r>
      <w:r w:rsidR="00EF3905" w:rsidRPr="00F200CA">
        <w:rPr>
          <w:sz w:val="20"/>
        </w:rPr>
        <w:t xml:space="preserve">for band 48+n48 </w:t>
      </w:r>
      <w:r w:rsidRPr="00F200CA">
        <w:rPr>
          <w:sz w:val="20"/>
        </w:rPr>
        <w:t xml:space="preserve">was raised for the first time in </w:t>
      </w:r>
      <w:r w:rsidR="00EF3905" w:rsidRPr="00F200CA">
        <w:rPr>
          <w:sz w:val="20"/>
        </w:rPr>
        <w:t>[1]</w:t>
      </w:r>
      <w:r w:rsidR="00815151">
        <w:rPr>
          <w:sz w:val="20"/>
        </w:rPr>
        <w:t xml:space="preserve"> RAN4#98-e, </w:t>
      </w:r>
      <w:r w:rsidR="00EF3905" w:rsidRPr="00F200CA">
        <w:rPr>
          <w:sz w:val="20"/>
        </w:rPr>
        <w:t>dating bake to January, 2021</w:t>
      </w:r>
      <w:r w:rsidRPr="00F200CA">
        <w:rPr>
          <w:sz w:val="20"/>
        </w:rPr>
        <w:t>.</w:t>
      </w:r>
      <w:r w:rsidR="00EF3905" w:rsidRPr="00F200CA">
        <w:rPr>
          <w:sz w:val="20"/>
        </w:rPr>
        <w:t xml:space="preserve"> </w:t>
      </w:r>
    </w:p>
    <w:p w14:paraId="6E8A57D7" w14:textId="11266BAD" w:rsidR="00EB182B" w:rsidRPr="00F200CA" w:rsidRDefault="00EF3905" w:rsidP="00344914">
      <w:pPr>
        <w:snapToGrid w:val="0"/>
        <w:rPr>
          <w:sz w:val="20"/>
        </w:rPr>
      </w:pPr>
      <w:r w:rsidRPr="00F200CA">
        <w:rPr>
          <w:sz w:val="20"/>
        </w:rPr>
        <w:t>In RAN#97-e,</w:t>
      </w:r>
      <w:r w:rsidR="00815151">
        <w:rPr>
          <w:sz w:val="20"/>
        </w:rPr>
        <w:t xml:space="preserve"> September 2022,</w:t>
      </w:r>
      <w:r w:rsidRPr="00F200CA">
        <w:rPr>
          <w:sz w:val="20"/>
        </w:rPr>
        <w:t xml:space="preserve"> [2] was submitted to RAN plenary</w:t>
      </w:r>
      <w:r w:rsidR="00815151" w:rsidRPr="00F200CA">
        <w:rPr>
          <w:sz w:val="20"/>
        </w:rPr>
        <w:t xml:space="preserve">, and the inconsistency issue </w:t>
      </w:r>
      <w:r w:rsidRPr="00F200CA">
        <w:rPr>
          <w:sz w:val="20"/>
        </w:rPr>
        <w:t>was</w:t>
      </w:r>
      <w:r w:rsidR="00815151" w:rsidRPr="00F200CA">
        <w:rPr>
          <w:sz w:val="20"/>
        </w:rPr>
        <w:t xml:space="preserve"> concluded as RAN task to RAN2 and RAN4.</w:t>
      </w:r>
    </w:p>
    <w:p w14:paraId="7A795B4E" w14:textId="23AB99C0" w:rsidR="00016776" w:rsidRDefault="00D92BD7" w:rsidP="00B30A10">
      <w:pPr>
        <w:pStyle w:val="af0"/>
        <w:snapToGrid w:val="0"/>
        <w:jc w:val="both"/>
        <w:rPr>
          <w:rFonts w:eastAsiaTheme="minorEastAsia"/>
          <w:iCs/>
          <w:sz w:val="20"/>
        </w:rPr>
      </w:pPr>
      <w:r>
        <w:rPr>
          <w:rFonts w:eastAsiaTheme="minorEastAsia"/>
          <w:iCs/>
          <w:sz w:val="20"/>
        </w:rPr>
        <w:t>In RAN2#</w:t>
      </w:r>
      <w:r w:rsidRPr="00D92BD7">
        <w:rPr>
          <w:rFonts w:eastAsiaTheme="minorEastAsia"/>
          <w:iCs/>
          <w:sz w:val="20"/>
        </w:rPr>
        <w:t>121</w:t>
      </w:r>
      <w:r>
        <w:rPr>
          <w:rFonts w:eastAsiaTheme="minorEastAsia"/>
          <w:iCs/>
          <w:sz w:val="20"/>
        </w:rPr>
        <w:t>,</w:t>
      </w:r>
      <w:r w:rsidR="00815151">
        <w:rPr>
          <w:rFonts w:eastAsiaTheme="minorEastAsia"/>
          <w:iCs/>
          <w:sz w:val="20"/>
        </w:rPr>
        <w:t xml:space="preserve"> Feb</w:t>
      </w:r>
      <w:r w:rsidR="00F87806">
        <w:rPr>
          <w:rFonts w:eastAsiaTheme="minorEastAsia"/>
          <w:iCs/>
          <w:sz w:val="20"/>
        </w:rPr>
        <w:t>r</w:t>
      </w:r>
      <w:r w:rsidR="00815151">
        <w:rPr>
          <w:rFonts w:eastAsiaTheme="minorEastAsia"/>
          <w:iCs/>
          <w:sz w:val="20"/>
        </w:rPr>
        <w:t>uary 2023,</w:t>
      </w:r>
      <w:r>
        <w:rPr>
          <w:rFonts w:eastAsiaTheme="minorEastAsia"/>
          <w:iCs/>
          <w:sz w:val="20"/>
        </w:rPr>
        <w:t xml:space="preserve"> </w:t>
      </w:r>
      <w:r w:rsidR="00016776">
        <w:rPr>
          <w:rFonts w:eastAsiaTheme="minorEastAsia"/>
          <w:iCs/>
          <w:sz w:val="20"/>
        </w:rPr>
        <w:t xml:space="preserve">RAN2 agreed to introduce </w:t>
      </w:r>
      <w:r w:rsidR="001E1FCC">
        <w:rPr>
          <w:rFonts w:eastAsiaTheme="minorEastAsia"/>
          <w:iCs/>
          <w:sz w:val="20"/>
        </w:rPr>
        <w:t>the</w:t>
      </w:r>
      <w:r w:rsidR="00016776" w:rsidRPr="00CF59FF">
        <w:rPr>
          <w:rFonts w:eastAsiaTheme="minorEastAsia"/>
          <w:iCs/>
          <w:sz w:val="20"/>
        </w:rPr>
        <w:t xml:space="preserve"> </w:t>
      </w:r>
      <w:r w:rsidR="003C137D">
        <w:rPr>
          <w:rFonts w:eastAsiaTheme="minorEastAsia"/>
          <w:iCs/>
          <w:sz w:val="20"/>
        </w:rPr>
        <w:t xml:space="preserve">new </w:t>
      </w:r>
      <w:r w:rsidR="00016776">
        <w:rPr>
          <w:rFonts w:eastAsiaTheme="minorEastAsia"/>
          <w:iCs/>
          <w:sz w:val="20"/>
        </w:rPr>
        <w:t>signa</w:t>
      </w:r>
      <w:r w:rsidR="00016776" w:rsidRPr="00CF59FF">
        <w:rPr>
          <w:rFonts w:eastAsiaTheme="minorEastAsia"/>
          <w:iCs/>
          <w:sz w:val="20"/>
        </w:rPr>
        <w:t>ling</w:t>
      </w:r>
      <w:r w:rsidR="001E1FCC">
        <w:rPr>
          <w:rFonts w:eastAsiaTheme="minorEastAsia"/>
          <w:iCs/>
          <w:sz w:val="20"/>
        </w:rPr>
        <w:t xml:space="preserve"> </w:t>
      </w:r>
      <w:proofErr w:type="spellStart"/>
      <w:r w:rsidR="001E1FCC" w:rsidRPr="00F200CA">
        <w:rPr>
          <w:rFonts w:eastAsiaTheme="minorEastAsia"/>
          <w:i/>
          <w:iCs/>
          <w:sz w:val="20"/>
        </w:rPr>
        <w:t>intraBandENDC</w:t>
      </w:r>
      <w:proofErr w:type="spellEnd"/>
      <w:r w:rsidR="001E1FCC" w:rsidRPr="00F200CA">
        <w:rPr>
          <w:rFonts w:eastAsiaTheme="minorEastAsia"/>
          <w:i/>
          <w:iCs/>
          <w:sz w:val="20"/>
        </w:rPr>
        <w:t>-Support-UL</w:t>
      </w:r>
      <w:r w:rsidR="00016776" w:rsidRPr="00CF59FF">
        <w:rPr>
          <w:rFonts w:eastAsiaTheme="minorEastAsia"/>
          <w:iCs/>
          <w:sz w:val="20"/>
        </w:rPr>
        <w:t xml:space="preserve"> </w:t>
      </w:r>
      <w:r w:rsidR="00016776">
        <w:rPr>
          <w:rFonts w:eastAsiaTheme="minorEastAsia"/>
          <w:iCs/>
          <w:sz w:val="20"/>
        </w:rPr>
        <w:t xml:space="preserve">for </w:t>
      </w:r>
      <w:r w:rsidR="00016776" w:rsidRPr="00CF59FF">
        <w:rPr>
          <w:rFonts w:eastAsiaTheme="minorEastAsia"/>
          <w:iCs/>
          <w:sz w:val="20"/>
        </w:rPr>
        <w:t>UL contiguity</w:t>
      </w:r>
      <w:r w:rsidR="00016776">
        <w:rPr>
          <w:rFonts w:eastAsiaTheme="minorEastAsia"/>
          <w:iCs/>
          <w:sz w:val="20"/>
        </w:rPr>
        <w:t xml:space="preserve"> capability </w:t>
      </w:r>
      <w:r w:rsidR="001E1FCC">
        <w:rPr>
          <w:rFonts w:eastAsiaTheme="minorEastAsia"/>
          <w:iCs/>
          <w:sz w:val="20"/>
        </w:rPr>
        <w:t>in</w:t>
      </w:r>
      <w:r w:rsidR="00016776">
        <w:rPr>
          <w:rFonts w:eastAsiaTheme="minorEastAsia"/>
          <w:iCs/>
          <w:sz w:val="20"/>
        </w:rPr>
        <w:t xml:space="preserve"> intra-band ENDC</w:t>
      </w:r>
      <w:r w:rsidR="001E1FCC">
        <w:rPr>
          <w:rFonts w:eastAsiaTheme="minorEastAsia"/>
          <w:iCs/>
          <w:sz w:val="20"/>
        </w:rPr>
        <w:t xml:space="preserve"> configurations</w:t>
      </w:r>
      <w:r w:rsidR="00815151">
        <w:rPr>
          <w:rFonts w:eastAsiaTheme="minorEastAsia"/>
          <w:iCs/>
          <w:sz w:val="20"/>
        </w:rPr>
        <w:t xml:space="preserve"> and included the solution in the LS [3] to RAN4</w:t>
      </w:r>
      <w:r w:rsidR="00016776">
        <w:rPr>
          <w:rFonts w:eastAsiaTheme="minorEastAsia"/>
          <w:iCs/>
          <w:sz w:val="20"/>
        </w:rPr>
        <w:t xml:space="preserve">. </w:t>
      </w:r>
      <w:r w:rsidR="00016776" w:rsidRPr="008034C5">
        <w:rPr>
          <w:rFonts w:eastAsiaTheme="minorEastAsia" w:hint="eastAsia"/>
          <w:iCs/>
          <w:sz w:val="20"/>
        </w:rPr>
        <w:t>When</w:t>
      </w:r>
      <w:r w:rsidR="003C137D">
        <w:rPr>
          <w:rFonts w:eastAsiaTheme="minorEastAsia"/>
          <w:iCs/>
          <w:sz w:val="20"/>
        </w:rPr>
        <w:t xml:space="preserve"> the</w:t>
      </w:r>
      <w:r w:rsidR="00016776" w:rsidRPr="008034C5">
        <w:rPr>
          <w:rFonts w:eastAsiaTheme="minorEastAsia"/>
          <w:iCs/>
          <w:sz w:val="20"/>
        </w:rPr>
        <w:t xml:space="preserve"> </w:t>
      </w:r>
      <w:proofErr w:type="spellStart"/>
      <w:r w:rsidR="001E1FCC" w:rsidRPr="00F200CA">
        <w:rPr>
          <w:rFonts w:eastAsiaTheme="minorEastAsia"/>
          <w:i/>
          <w:iCs/>
          <w:sz w:val="20"/>
        </w:rPr>
        <w:t>intraBandENDC</w:t>
      </w:r>
      <w:proofErr w:type="spellEnd"/>
      <w:r w:rsidR="001E1FCC" w:rsidRPr="00F200CA">
        <w:rPr>
          <w:rFonts w:eastAsiaTheme="minorEastAsia"/>
          <w:i/>
          <w:iCs/>
          <w:sz w:val="20"/>
        </w:rPr>
        <w:t>-Support-UL</w:t>
      </w:r>
      <w:r w:rsidR="00016776" w:rsidRPr="008034C5">
        <w:rPr>
          <w:rFonts w:eastAsiaTheme="minorEastAsia"/>
          <w:iCs/>
          <w:sz w:val="20"/>
        </w:rPr>
        <w:t xml:space="preserve"> is not included, the legacy capability</w:t>
      </w:r>
      <w:r w:rsidR="003C137D">
        <w:rPr>
          <w:rFonts w:eastAsiaTheme="minorEastAsia"/>
          <w:iCs/>
          <w:sz w:val="20"/>
        </w:rPr>
        <w:t xml:space="preserve"> (i.e. </w:t>
      </w:r>
      <w:proofErr w:type="spellStart"/>
      <w:r w:rsidR="003C137D" w:rsidRPr="003C137D">
        <w:rPr>
          <w:rFonts w:eastAsiaTheme="minorEastAsia"/>
          <w:i/>
          <w:iCs/>
          <w:sz w:val="20"/>
        </w:rPr>
        <w:t>intrabandENDC</w:t>
      </w:r>
      <w:proofErr w:type="spellEnd"/>
      <w:r w:rsidR="003C137D" w:rsidRPr="003C137D">
        <w:rPr>
          <w:rFonts w:eastAsiaTheme="minorEastAsia"/>
          <w:i/>
          <w:iCs/>
          <w:sz w:val="20"/>
        </w:rPr>
        <w:t>-Support</w:t>
      </w:r>
      <w:r w:rsidR="003C137D">
        <w:rPr>
          <w:rFonts w:eastAsiaTheme="minorEastAsia"/>
          <w:iCs/>
          <w:sz w:val="20"/>
        </w:rPr>
        <w:t>)</w:t>
      </w:r>
      <w:r w:rsidR="00016776" w:rsidRPr="008034C5">
        <w:rPr>
          <w:rFonts w:eastAsiaTheme="minorEastAsia"/>
          <w:iCs/>
          <w:sz w:val="20"/>
        </w:rPr>
        <w:t xml:space="preserve"> indicates the capability for DL when the intra-band EN-DC is only supported in DL, or the common capability for both DL and UL when intra-band EN-DC is supported in DL and UL.</w:t>
      </w:r>
      <w:r w:rsidR="00016776">
        <w:rPr>
          <w:rFonts w:eastAsiaTheme="minorEastAsia"/>
          <w:iCs/>
          <w:sz w:val="20"/>
        </w:rPr>
        <w:t xml:space="preserve"> </w:t>
      </w:r>
      <w:r w:rsidR="00016776" w:rsidRPr="008034C5">
        <w:rPr>
          <w:rFonts w:eastAsiaTheme="minorEastAsia"/>
          <w:iCs/>
          <w:sz w:val="20"/>
        </w:rPr>
        <w:t xml:space="preserve">When the </w:t>
      </w:r>
      <w:proofErr w:type="spellStart"/>
      <w:r w:rsidR="003C137D" w:rsidRPr="00F200CA">
        <w:rPr>
          <w:rFonts w:eastAsiaTheme="minorEastAsia"/>
          <w:i/>
          <w:iCs/>
          <w:sz w:val="20"/>
        </w:rPr>
        <w:t>intraBandENDC</w:t>
      </w:r>
      <w:proofErr w:type="spellEnd"/>
      <w:r w:rsidR="003C137D" w:rsidRPr="00F200CA">
        <w:rPr>
          <w:rFonts w:eastAsiaTheme="minorEastAsia"/>
          <w:i/>
          <w:iCs/>
          <w:sz w:val="20"/>
        </w:rPr>
        <w:t>-Support-UL</w:t>
      </w:r>
      <w:r w:rsidR="00016776" w:rsidRPr="008034C5">
        <w:rPr>
          <w:rFonts w:eastAsiaTheme="minorEastAsia"/>
          <w:iCs/>
          <w:sz w:val="20"/>
        </w:rPr>
        <w:t xml:space="preserve"> is included, the legacy capability indicates </w:t>
      </w:r>
      <w:r w:rsidR="00016776">
        <w:rPr>
          <w:rFonts w:eastAsiaTheme="minorEastAsia"/>
          <w:iCs/>
          <w:sz w:val="20"/>
        </w:rPr>
        <w:t xml:space="preserve">the DL capability. The capability </w:t>
      </w:r>
      <w:proofErr w:type="spellStart"/>
      <w:r w:rsidR="001E1FCC" w:rsidRPr="00F72A4B">
        <w:rPr>
          <w:rFonts w:eastAsiaTheme="minorEastAsia"/>
          <w:i/>
          <w:iCs/>
          <w:sz w:val="20"/>
        </w:rPr>
        <w:t>intraBandENDC</w:t>
      </w:r>
      <w:proofErr w:type="spellEnd"/>
      <w:r w:rsidR="001E1FCC" w:rsidRPr="00F72A4B">
        <w:rPr>
          <w:rFonts w:eastAsiaTheme="minorEastAsia"/>
          <w:i/>
          <w:iCs/>
          <w:sz w:val="20"/>
        </w:rPr>
        <w:t>-Support-UL</w:t>
      </w:r>
      <w:r w:rsidR="001E1FCC">
        <w:rPr>
          <w:rFonts w:eastAsiaTheme="minorEastAsia"/>
          <w:i/>
          <w:iCs/>
          <w:sz w:val="20"/>
        </w:rPr>
        <w:t xml:space="preserve"> </w:t>
      </w:r>
      <w:r w:rsidR="00787078">
        <w:rPr>
          <w:rFonts w:eastAsiaTheme="minorEastAsia"/>
          <w:iCs/>
          <w:sz w:val="20"/>
        </w:rPr>
        <w:t>exists only</w:t>
      </w:r>
      <w:r w:rsidR="00016776">
        <w:rPr>
          <w:rFonts w:eastAsiaTheme="minorEastAsia"/>
          <w:iCs/>
          <w:sz w:val="20"/>
        </w:rPr>
        <w:t xml:space="preserve"> when there is different </w:t>
      </w:r>
      <w:r w:rsidR="003C0F98">
        <w:rPr>
          <w:rFonts w:eastAsiaTheme="minorEastAsia"/>
          <w:iCs/>
          <w:sz w:val="20"/>
        </w:rPr>
        <w:t xml:space="preserve">contiguity </w:t>
      </w:r>
      <w:r w:rsidR="00016776">
        <w:rPr>
          <w:rFonts w:eastAsiaTheme="minorEastAsia"/>
          <w:iCs/>
          <w:sz w:val="20"/>
        </w:rPr>
        <w:t>capability between DL and UL.</w:t>
      </w:r>
      <w:r w:rsidR="00355F30">
        <w:rPr>
          <w:rFonts w:eastAsiaTheme="minorEastAsia"/>
          <w:iCs/>
          <w:sz w:val="20"/>
        </w:rPr>
        <w:t xml:space="preserve"> </w:t>
      </w:r>
      <w:r w:rsidR="00355F30" w:rsidRPr="00B30A10">
        <w:rPr>
          <w:rFonts w:eastAsiaTheme="minorEastAsia"/>
          <w:iCs/>
          <w:sz w:val="20"/>
        </w:rPr>
        <w:t xml:space="preserve">The RAN2 CRs are agreed in </w:t>
      </w:r>
      <w:r w:rsidR="003C137D" w:rsidRPr="00B30A10">
        <w:rPr>
          <w:rFonts w:eastAsiaTheme="minorEastAsia"/>
          <w:iCs/>
          <w:sz w:val="20"/>
        </w:rPr>
        <w:t>[4]</w:t>
      </w:r>
      <w:r w:rsidR="009425F7" w:rsidRPr="00B30A10">
        <w:rPr>
          <w:rFonts w:eastAsiaTheme="minorEastAsia"/>
          <w:iCs/>
          <w:sz w:val="20"/>
        </w:rPr>
        <w:t>-</w:t>
      </w:r>
      <w:r w:rsidR="003C137D" w:rsidRPr="00B30A10">
        <w:rPr>
          <w:rFonts w:eastAsiaTheme="minorEastAsia"/>
          <w:iCs/>
          <w:sz w:val="20"/>
        </w:rPr>
        <w:t>[9]</w:t>
      </w:r>
      <w:r w:rsidR="00355F30" w:rsidRPr="00B30A10">
        <w:rPr>
          <w:rFonts w:eastAsiaTheme="minorEastAsia"/>
          <w:iCs/>
          <w:sz w:val="20"/>
        </w:rPr>
        <w:t>.</w:t>
      </w:r>
    </w:p>
    <w:p w14:paraId="1CB0B44D" w14:textId="3631B49E" w:rsidR="00016776" w:rsidRDefault="00016776" w:rsidP="00016776">
      <w:pPr>
        <w:pStyle w:val="af0"/>
        <w:snapToGrid w:val="0"/>
        <w:rPr>
          <w:rFonts w:eastAsiaTheme="minorEastAsia"/>
          <w:iCs/>
          <w:sz w:val="20"/>
        </w:rPr>
      </w:pPr>
      <w:r>
        <w:rPr>
          <w:rFonts w:eastAsiaTheme="minorEastAsia"/>
          <w:iCs/>
          <w:sz w:val="20"/>
        </w:rPr>
        <w:t xml:space="preserve">The signaling design </w:t>
      </w:r>
      <w:r w:rsidR="00787078">
        <w:rPr>
          <w:rFonts w:eastAsiaTheme="minorEastAsia"/>
          <w:iCs/>
          <w:sz w:val="20"/>
        </w:rPr>
        <w:t xml:space="preserve">in RAN2 </w:t>
      </w:r>
      <w:r>
        <w:rPr>
          <w:rFonts w:eastAsiaTheme="minorEastAsia"/>
          <w:iCs/>
          <w:sz w:val="20"/>
        </w:rPr>
        <w:t>for all possible cases is as follows.</w:t>
      </w:r>
    </w:p>
    <w:p w14:paraId="39CBC232" w14:textId="527907E2" w:rsidR="000F728B" w:rsidRPr="00B30A10" w:rsidRDefault="000F728B" w:rsidP="000F728B">
      <w:pPr>
        <w:pStyle w:val="af7"/>
        <w:keepNext/>
        <w:jc w:val="center"/>
        <w:rPr>
          <w:rFonts w:ascii="Arial" w:hAnsi="Arial" w:cs="Arial"/>
        </w:rPr>
      </w:pPr>
      <w:bookmarkStart w:id="1" w:name="_Ref136510493"/>
      <w:r w:rsidRPr="00B30A10">
        <w:rPr>
          <w:rFonts w:ascii="Arial" w:hAnsi="Arial" w:cs="Arial"/>
          <w:sz w:val="18"/>
        </w:rPr>
        <w:t xml:space="preserve">Table </w:t>
      </w:r>
      <w:r w:rsidRPr="00B30A10">
        <w:rPr>
          <w:rFonts w:ascii="Arial" w:hAnsi="Arial" w:cs="Arial"/>
          <w:sz w:val="18"/>
        </w:rPr>
        <w:fldChar w:fldCharType="begin"/>
      </w:r>
      <w:r w:rsidRPr="00B30A10">
        <w:rPr>
          <w:rFonts w:ascii="Arial" w:hAnsi="Arial" w:cs="Arial"/>
          <w:sz w:val="18"/>
        </w:rPr>
        <w:instrText xml:space="preserve"> SEQ Table \* ARABIC </w:instrText>
      </w:r>
      <w:r w:rsidRPr="00B30A10">
        <w:rPr>
          <w:rFonts w:ascii="Arial" w:hAnsi="Arial" w:cs="Arial"/>
          <w:sz w:val="18"/>
        </w:rPr>
        <w:fldChar w:fldCharType="separate"/>
      </w:r>
      <w:r w:rsidR="002514E5">
        <w:rPr>
          <w:rFonts w:ascii="Arial" w:hAnsi="Arial" w:cs="Arial"/>
          <w:noProof/>
          <w:sz w:val="18"/>
        </w:rPr>
        <w:t>1</w:t>
      </w:r>
      <w:r w:rsidRPr="00B30A10">
        <w:rPr>
          <w:rFonts w:ascii="Arial" w:hAnsi="Arial" w:cs="Arial"/>
          <w:sz w:val="18"/>
        </w:rPr>
        <w:fldChar w:fldCharType="end"/>
      </w:r>
      <w:bookmarkEnd w:id="1"/>
      <w:r w:rsidRPr="00B30A10">
        <w:rPr>
          <w:rFonts w:ascii="Arial" w:hAnsi="Arial" w:cs="Arial"/>
        </w:rPr>
        <w:t xml:space="preserve"> </w:t>
      </w:r>
      <w:r w:rsidRPr="00B30A10">
        <w:rPr>
          <w:rFonts w:ascii="Arial" w:eastAsiaTheme="minorEastAsia" w:hAnsi="Arial" w:cs="Arial"/>
          <w:sz w:val="18"/>
          <w:szCs w:val="18"/>
        </w:rPr>
        <w:t xml:space="preserve">intra-band EN-DC scenarios indicated by </w:t>
      </w:r>
      <w:proofErr w:type="spellStart"/>
      <w:r w:rsidRPr="00B30A10">
        <w:rPr>
          <w:rFonts w:ascii="Arial" w:eastAsiaTheme="minorEastAsia" w:hAnsi="Arial" w:cs="Arial"/>
          <w:i/>
          <w:iCs/>
          <w:sz w:val="18"/>
          <w:szCs w:val="18"/>
        </w:rPr>
        <w:t>intraBandENDC</w:t>
      </w:r>
      <w:proofErr w:type="spellEnd"/>
      <w:r w:rsidRPr="00B30A10">
        <w:rPr>
          <w:rFonts w:ascii="Arial" w:eastAsiaTheme="minorEastAsia" w:hAnsi="Arial" w:cs="Arial"/>
          <w:i/>
          <w:iCs/>
          <w:sz w:val="18"/>
          <w:szCs w:val="18"/>
        </w:rPr>
        <w:t>-Support</w:t>
      </w:r>
      <w:r w:rsidRPr="00B30A10">
        <w:rPr>
          <w:rFonts w:ascii="Arial" w:eastAsiaTheme="minorEastAsia" w:hAnsi="Arial" w:cs="Arial"/>
          <w:i/>
          <w:iCs/>
          <w:sz w:val="18"/>
          <w:szCs w:val="18"/>
          <w:lang w:eastAsia="zh-CN"/>
        </w:rPr>
        <w:t>/</w:t>
      </w:r>
      <w:r w:rsidRPr="00B30A10">
        <w:rPr>
          <w:rFonts w:ascii="Arial" w:eastAsiaTheme="minorEastAsia" w:hAnsi="Arial" w:cs="Arial"/>
          <w:i/>
          <w:iCs/>
          <w:sz w:val="18"/>
          <w:szCs w:val="18"/>
        </w:rPr>
        <w:t xml:space="preserve"> </w:t>
      </w:r>
      <w:proofErr w:type="spellStart"/>
      <w:r w:rsidRPr="00B30A10">
        <w:rPr>
          <w:rFonts w:ascii="Arial" w:eastAsiaTheme="minorEastAsia" w:hAnsi="Arial" w:cs="Arial"/>
          <w:i/>
          <w:iCs/>
          <w:sz w:val="18"/>
          <w:szCs w:val="18"/>
        </w:rPr>
        <w:t>intraBandENDC</w:t>
      </w:r>
      <w:proofErr w:type="spellEnd"/>
      <w:r w:rsidRPr="00B30A10">
        <w:rPr>
          <w:rFonts w:ascii="Arial" w:eastAsiaTheme="minorEastAsia" w:hAnsi="Arial" w:cs="Arial"/>
          <w:i/>
          <w:iCs/>
          <w:sz w:val="18"/>
          <w:szCs w:val="18"/>
        </w:rPr>
        <w:t xml:space="preserve">-Support-UL </w:t>
      </w:r>
      <w:r w:rsidRPr="00B30A10">
        <w:rPr>
          <w:rFonts w:ascii="Arial" w:eastAsiaTheme="minorEastAsia" w:hAnsi="Arial" w:cs="Arial"/>
          <w:iCs/>
          <w:sz w:val="18"/>
          <w:szCs w:val="18"/>
        </w:rPr>
        <w:t>in [</w:t>
      </w:r>
      <w:r w:rsidR="00815151" w:rsidRPr="00B30A10">
        <w:rPr>
          <w:rFonts w:ascii="Arial" w:eastAsiaTheme="minorEastAsia" w:hAnsi="Arial" w:cs="Arial"/>
          <w:iCs/>
          <w:sz w:val="18"/>
          <w:szCs w:val="18"/>
        </w:rPr>
        <w:t>3</w:t>
      </w:r>
      <w:r w:rsidRPr="00B30A10">
        <w:rPr>
          <w:rFonts w:ascii="Arial" w:eastAsiaTheme="minorEastAsia" w:hAnsi="Arial" w:cs="Arial"/>
          <w:iCs/>
          <w:sz w:val="18"/>
          <w:szCs w:val="1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166"/>
        <w:gridCol w:w="2010"/>
        <w:gridCol w:w="4175"/>
      </w:tblGrid>
      <w:tr w:rsidR="00016776" w:rsidRPr="002E5569" w14:paraId="39A58889" w14:textId="77777777" w:rsidTr="000F728B">
        <w:tc>
          <w:tcPr>
            <w:tcW w:w="663" w:type="pct"/>
            <w:tcBorders>
              <w:top w:val="single" w:sz="4" w:space="0" w:color="auto"/>
              <w:left w:val="single" w:sz="4" w:space="0" w:color="auto"/>
              <w:bottom w:val="single" w:sz="4" w:space="0" w:color="auto"/>
              <w:right w:val="single" w:sz="4" w:space="0" w:color="auto"/>
            </w:tcBorders>
            <w:hideMark/>
          </w:tcPr>
          <w:p w14:paraId="4201B647" w14:textId="77777777" w:rsidR="00016776" w:rsidRPr="00B30A10" w:rsidRDefault="00016776" w:rsidP="00344914">
            <w:pPr>
              <w:snapToGrid w:val="0"/>
              <w:spacing w:after="60"/>
              <w:ind w:left="100"/>
              <w:jc w:val="center"/>
              <w:rPr>
                <w:rFonts w:ascii="Arial" w:hAnsi="Arial" w:cs="Arial"/>
                <w:b/>
                <w:bCs/>
                <w:noProof/>
                <w:sz w:val="18"/>
                <w:szCs w:val="20"/>
              </w:rPr>
            </w:pPr>
            <w:r w:rsidRPr="00B30A10">
              <w:rPr>
                <w:rFonts w:ascii="Arial" w:hAnsi="Arial" w:cs="Arial"/>
                <w:b/>
                <w:bCs/>
                <w:noProof/>
                <w:sz w:val="18"/>
                <w:szCs w:val="20"/>
              </w:rPr>
              <w:t>Scenario</w:t>
            </w:r>
          </w:p>
        </w:tc>
        <w:tc>
          <w:tcPr>
            <w:tcW w:w="1125" w:type="pct"/>
            <w:tcBorders>
              <w:top w:val="single" w:sz="4" w:space="0" w:color="auto"/>
              <w:left w:val="single" w:sz="4" w:space="0" w:color="auto"/>
              <w:bottom w:val="single" w:sz="4" w:space="0" w:color="auto"/>
              <w:right w:val="single" w:sz="4" w:space="0" w:color="auto"/>
            </w:tcBorders>
            <w:hideMark/>
          </w:tcPr>
          <w:p w14:paraId="56BAA67F" w14:textId="77777777" w:rsidR="00016776" w:rsidRPr="00B30A10" w:rsidRDefault="00016776" w:rsidP="00B30A10">
            <w:pPr>
              <w:snapToGrid w:val="0"/>
              <w:spacing w:after="60"/>
              <w:ind w:left="100"/>
              <w:jc w:val="center"/>
              <w:rPr>
                <w:rFonts w:ascii="Arial" w:hAnsi="Arial" w:cs="Arial"/>
                <w:b/>
                <w:bCs/>
                <w:i/>
                <w:iCs/>
                <w:noProof/>
                <w:sz w:val="18"/>
                <w:szCs w:val="20"/>
              </w:rPr>
            </w:pPr>
            <w:r w:rsidRPr="00B30A10">
              <w:rPr>
                <w:rFonts w:ascii="Arial" w:hAnsi="Arial" w:cs="Arial"/>
                <w:b/>
                <w:bCs/>
                <w:i/>
                <w:iCs/>
                <w:noProof/>
                <w:sz w:val="18"/>
                <w:szCs w:val="20"/>
              </w:rPr>
              <w:t>intraBandENDC-Support</w:t>
            </w:r>
          </w:p>
        </w:tc>
        <w:tc>
          <w:tcPr>
            <w:tcW w:w="1044" w:type="pct"/>
            <w:tcBorders>
              <w:top w:val="single" w:sz="4" w:space="0" w:color="auto"/>
              <w:left w:val="single" w:sz="4" w:space="0" w:color="auto"/>
              <w:bottom w:val="single" w:sz="4" w:space="0" w:color="auto"/>
              <w:right w:val="single" w:sz="4" w:space="0" w:color="auto"/>
            </w:tcBorders>
            <w:hideMark/>
          </w:tcPr>
          <w:p w14:paraId="519234C5" w14:textId="77777777" w:rsidR="00016776" w:rsidRPr="00B30A10" w:rsidRDefault="00016776" w:rsidP="00B30A10">
            <w:pPr>
              <w:snapToGrid w:val="0"/>
              <w:spacing w:after="60"/>
              <w:ind w:left="100"/>
              <w:jc w:val="center"/>
              <w:rPr>
                <w:rFonts w:ascii="Arial" w:hAnsi="Arial" w:cs="Arial"/>
                <w:b/>
                <w:bCs/>
                <w:i/>
                <w:iCs/>
                <w:noProof/>
                <w:sz w:val="18"/>
                <w:szCs w:val="20"/>
              </w:rPr>
            </w:pPr>
            <w:r w:rsidRPr="00B30A10">
              <w:rPr>
                <w:rFonts w:ascii="Arial" w:hAnsi="Arial" w:cs="Arial"/>
                <w:b/>
                <w:bCs/>
                <w:i/>
                <w:iCs/>
                <w:noProof/>
                <w:sz w:val="18"/>
                <w:szCs w:val="20"/>
              </w:rPr>
              <w:t>intraBandENDC-Support-UL</w:t>
            </w:r>
          </w:p>
        </w:tc>
        <w:tc>
          <w:tcPr>
            <w:tcW w:w="2169" w:type="pct"/>
            <w:tcBorders>
              <w:top w:val="single" w:sz="4" w:space="0" w:color="auto"/>
              <w:left w:val="single" w:sz="4" w:space="0" w:color="auto"/>
              <w:bottom w:val="single" w:sz="4" w:space="0" w:color="auto"/>
              <w:right w:val="single" w:sz="4" w:space="0" w:color="auto"/>
            </w:tcBorders>
            <w:hideMark/>
          </w:tcPr>
          <w:p w14:paraId="70FF5336" w14:textId="6FEF2F84" w:rsidR="00016776" w:rsidRPr="00B30A10" w:rsidRDefault="00016776" w:rsidP="00B30A10">
            <w:pPr>
              <w:snapToGrid w:val="0"/>
              <w:spacing w:after="60"/>
              <w:ind w:left="100"/>
              <w:jc w:val="center"/>
              <w:rPr>
                <w:rFonts w:ascii="Arial" w:hAnsi="Arial" w:cs="Arial"/>
                <w:b/>
                <w:bCs/>
                <w:noProof/>
                <w:sz w:val="18"/>
                <w:szCs w:val="20"/>
              </w:rPr>
            </w:pPr>
            <w:r w:rsidRPr="00B30A10">
              <w:rPr>
                <w:rFonts w:ascii="Arial" w:hAnsi="Arial" w:cs="Arial"/>
                <w:b/>
                <w:bCs/>
                <w:noProof/>
                <w:sz w:val="18"/>
                <w:szCs w:val="20"/>
              </w:rPr>
              <w:t>UE supports in DL / UL</w:t>
            </w:r>
          </w:p>
          <w:p w14:paraId="0E28432B" w14:textId="77777777" w:rsidR="00016776" w:rsidRPr="00B30A10" w:rsidRDefault="00016776" w:rsidP="00B30A10">
            <w:pPr>
              <w:snapToGrid w:val="0"/>
              <w:spacing w:after="60"/>
              <w:ind w:left="100"/>
              <w:jc w:val="center"/>
              <w:rPr>
                <w:rFonts w:ascii="Arial" w:hAnsi="Arial" w:cs="Arial"/>
                <w:b/>
                <w:bCs/>
                <w:noProof/>
                <w:sz w:val="18"/>
                <w:szCs w:val="20"/>
              </w:rPr>
            </w:pPr>
            <w:r w:rsidRPr="00B30A10">
              <w:rPr>
                <w:rFonts w:ascii="Arial" w:hAnsi="Arial" w:cs="Arial"/>
                <w:b/>
                <w:bCs/>
                <w:noProof/>
                <w:sz w:val="18"/>
                <w:szCs w:val="20"/>
              </w:rPr>
              <w:t>(if applicable)</w:t>
            </w:r>
          </w:p>
        </w:tc>
      </w:tr>
      <w:tr w:rsidR="00016776" w:rsidRPr="002E5569" w14:paraId="66FF969E" w14:textId="77777777" w:rsidTr="000F728B">
        <w:tc>
          <w:tcPr>
            <w:tcW w:w="663" w:type="pct"/>
            <w:tcBorders>
              <w:top w:val="single" w:sz="4" w:space="0" w:color="auto"/>
              <w:left w:val="single" w:sz="4" w:space="0" w:color="auto"/>
              <w:bottom w:val="single" w:sz="4" w:space="0" w:color="auto"/>
              <w:right w:val="single" w:sz="4" w:space="0" w:color="auto"/>
            </w:tcBorders>
            <w:hideMark/>
          </w:tcPr>
          <w:p w14:paraId="1E73C74A" w14:textId="77777777" w:rsidR="00016776" w:rsidRPr="00B30A10" w:rsidRDefault="00016776" w:rsidP="000F728B">
            <w:pPr>
              <w:snapToGrid w:val="0"/>
              <w:spacing w:after="60"/>
              <w:ind w:left="100"/>
              <w:jc w:val="center"/>
              <w:rPr>
                <w:rFonts w:ascii="Arial" w:hAnsi="Arial" w:cs="Arial"/>
                <w:noProof/>
                <w:sz w:val="18"/>
                <w:szCs w:val="20"/>
              </w:rPr>
            </w:pPr>
            <w:r w:rsidRPr="00B30A10">
              <w:rPr>
                <w:rFonts w:ascii="Arial" w:hAnsi="Arial" w:cs="Arial"/>
                <w:noProof/>
                <w:sz w:val="18"/>
                <w:szCs w:val="20"/>
              </w:rPr>
              <w:t>1</w:t>
            </w:r>
          </w:p>
        </w:tc>
        <w:tc>
          <w:tcPr>
            <w:tcW w:w="1125" w:type="pct"/>
            <w:tcBorders>
              <w:top w:val="single" w:sz="4" w:space="0" w:color="auto"/>
              <w:left w:val="single" w:sz="4" w:space="0" w:color="auto"/>
              <w:bottom w:val="single" w:sz="4" w:space="0" w:color="auto"/>
              <w:right w:val="single" w:sz="4" w:space="0" w:color="auto"/>
            </w:tcBorders>
            <w:hideMark/>
          </w:tcPr>
          <w:p w14:paraId="5AB11B5A" w14:textId="77777777" w:rsidR="00016776" w:rsidRPr="00B30A10" w:rsidRDefault="00016776" w:rsidP="000F728B">
            <w:pPr>
              <w:snapToGrid w:val="0"/>
              <w:spacing w:after="60"/>
              <w:ind w:left="100"/>
              <w:rPr>
                <w:rFonts w:ascii="Arial" w:hAnsi="Arial" w:cs="Arial"/>
                <w:noProof/>
                <w:sz w:val="18"/>
                <w:szCs w:val="20"/>
              </w:rPr>
            </w:pPr>
            <w:r w:rsidRPr="00B30A10">
              <w:rPr>
                <w:rFonts w:ascii="Arial" w:hAnsi="Arial" w:cs="Arial"/>
                <w:noProof/>
                <w:sz w:val="18"/>
                <w:szCs w:val="20"/>
              </w:rPr>
              <w:t>Absent (Contiguous)</w:t>
            </w:r>
          </w:p>
        </w:tc>
        <w:tc>
          <w:tcPr>
            <w:tcW w:w="1044" w:type="pct"/>
            <w:tcBorders>
              <w:top w:val="single" w:sz="4" w:space="0" w:color="auto"/>
              <w:left w:val="single" w:sz="4" w:space="0" w:color="auto"/>
              <w:bottom w:val="single" w:sz="4" w:space="0" w:color="auto"/>
              <w:right w:val="single" w:sz="4" w:space="0" w:color="auto"/>
            </w:tcBorders>
            <w:hideMark/>
          </w:tcPr>
          <w:p w14:paraId="577331BF" w14:textId="77777777" w:rsidR="00016776" w:rsidRPr="00B30A10" w:rsidRDefault="00016776" w:rsidP="000F728B">
            <w:pPr>
              <w:snapToGrid w:val="0"/>
              <w:spacing w:after="60"/>
              <w:ind w:left="100"/>
              <w:rPr>
                <w:rFonts w:ascii="Arial" w:hAnsi="Arial" w:cs="Arial"/>
                <w:noProof/>
                <w:sz w:val="18"/>
                <w:szCs w:val="20"/>
              </w:rPr>
            </w:pPr>
            <w:r w:rsidRPr="00B30A10">
              <w:rPr>
                <w:rFonts w:ascii="Arial" w:hAnsi="Arial" w:cs="Arial"/>
                <w:noProof/>
                <w:sz w:val="18"/>
                <w:szCs w:val="20"/>
              </w:rPr>
              <w:t>Absent</w:t>
            </w:r>
          </w:p>
        </w:tc>
        <w:tc>
          <w:tcPr>
            <w:tcW w:w="2169" w:type="pct"/>
            <w:tcBorders>
              <w:top w:val="single" w:sz="4" w:space="0" w:color="auto"/>
              <w:left w:val="single" w:sz="4" w:space="0" w:color="auto"/>
              <w:bottom w:val="single" w:sz="4" w:space="0" w:color="auto"/>
              <w:right w:val="single" w:sz="4" w:space="0" w:color="auto"/>
            </w:tcBorders>
            <w:hideMark/>
          </w:tcPr>
          <w:p w14:paraId="7948555C" w14:textId="77777777" w:rsidR="00016776" w:rsidRPr="00B30A10" w:rsidRDefault="00016776" w:rsidP="000F728B">
            <w:pPr>
              <w:widowControl/>
              <w:numPr>
                <w:ilvl w:val="0"/>
                <w:numId w:val="32"/>
              </w:numPr>
              <w:snapToGrid w:val="0"/>
              <w:spacing w:after="60"/>
              <w:jc w:val="left"/>
              <w:rPr>
                <w:rFonts w:ascii="Arial" w:hAnsi="Arial" w:cs="Arial"/>
                <w:noProof/>
                <w:sz w:val="18"/>
                <w:szCs w:val="20"/>
              </w:rPr>
            </w:pPr>
            <w:r w:rsidRPr="00B30A10">
              <w:rPr>
                <w:rFonts w:ascii="Arial" w:hAnsi="Arial" w:cs="Arial"/>
                <w:noProof/>
                <w:sz w:val="18"/>
                <w:szCs w:val="20"/>
              </w:rPr>
              <w:t>Contiguous/Contiguous</w:t>
            </w:r>
          </w:p>
        </w:tc>
      </w:tr>
      <w:tr w:rsidR="00016776" w:rsidRPr="002E5569" w14:paraId="4280E909" w14:textId="77777777" w:rsidTr="000F728B">
        <w:tc>
          <w:tcPr>
            <w:tcW w:w="663" w:type="pct"/>
            <w:tcBorders>
              <w:top w:val="single" w:sz="4" w:space="0" w:color="auto"/>
              <w:left w:val="single" w:sz="4" w:space="0" w:color="auto"/>
              <w:bottom w:val="single" w:sz="4" w:space="0" w:color="auto"/>
              <w:right w:val="single" w:sz="4" w:space="0" w:color="auto"/>
            </w:tcBorders>
            <w:hideMark/>
          </w:tcPr>
          <w:p w14:paraId="76421053" w14:textId="77777777" w:rsidR="00016776" w:rsidRPr="00B30A10" w:rsidRDefault="00016776" w:rsidP="000F728B">
            <w:pPr>
              <w:snapToGrid w:val="0"/>
              <w:spacing w:after="60"/>
              <w:ind w:left="100"/>
              <w:jc w:val="center"/>
              <w:rPr>
                <w:rFonts w:ascii="Arial" w:hAnsi="Arial" w:cs="Arial"/>
                <w:noProof/>
                <w:sz w:val="18"/>
                <w:szCs w:val="20"/>
              </w:rPr>
            </w:pPr>
            <w:r w:rsidRPr="00B30A10">
              <w:rPr>
                <w:rFonts w:ascii="Arial" w:hAnsi="Arial" w:cs="Arial"/>
                <w:noProof/>
                <w:sz w:val="18"/>
                <w:szCs w:val="20"/>
              </w:rPr>
              <w:t>2</w:t>
            </w:r>
          </w:p>
        </w:tc>
        <w:tc>
          <w:tcPr>
            <w:tcW w:w="1125" w:type="pct"/>
            <w:tcBorders>
              <w:top w:val="single" w:sz="4" w:space="0" w:color="auto"/>
              <w:left w:val="single" w:sz="4" w:space="0" w:color="auto"/>
              <w:bottom w:val="single" w:sz="4" w:space="0" w:color="auto"/>
              <w:right w:val="single" w:sz="4" w:space="0" w:color="auto"/>
            </w:tcBorders>
            <w:hideMark/>
          </w:tcPr>
          <w:p w14:paraId="5F7933B1" w14:textId="77777777" w:rsidR="00016776" w:rsidRPr="00B30A10" w:rsidRDefault="00016776" w:rsidP="000F728B">
            <w:pPr>
              <w:snapToGrid w:val="0"/>
              <w:spacing w:after="60"/>
              <w:ind w:left="100"/>
              <w:rPr>
                <w:rFonts w:ascii="Arial" w:hAnsi="Arial" w:cs="Arial"/>
                <w:b/>
                <w:noProof/>
                <w:color w:val="FF0000"/>
                <w:sz w:val="18"/>
                <w:szCs w:val="20"/>
              </w:rPr>
            </w:pPr>
            <w:r w:rsidRPr="00B30A10">
              <w:rPr>
                <w:rFonts w:ascii="Arial" w:hAnsi="Arial" w:cs="Arial"/>
                <w:b/>
                <w:noProof/>
                <w:color w:val="FF0000"/>
                <w:sz w:val="18"/>
                <w:szCs w:val="20"/>
              </w:rPr>
              <w:t>Absent (Contiguous)</w:t>
            </w:r>
          </w:p>
        </w:tc>
        <w:tc>
          <w:tcPr>
            <w:tcW w:w="1044" w:type="pct"/>
            <w:tcBorders>
              <w:top w:val="single" w:sz="4" w:space="0" w:color="auto"/>
              <w:left w:val="single" w:sz="4" w:space="0" w:color="auto"/>
              <w:bottom w:val="single" w:sz="4" w:space="0" w:color="auto"/>
              <w:right w:val="single" w:sz="4" w:space="0" w:color="auto"/>
            </w:tcBorders>
            <w:hideMark/>
          </w:tcPr>
          <w:p w14:paraId="47C0EABC" w14:textId="77777777" w:rsidR="00016776" w:rsidRPr="00B30A10" w:rsidRDefault="00016776" w:rsidP="000F728B">
            <w:pPr>
              <w:snapToGrid w:val="0"/>
              <w:spacing w:after="60"/>
              <w:ind w:left="100"/>
              <w:rPr>
                <w:rFonts w:ascii="Arial" w:hAnsi="Arial" w:cs="Arial"/>
                <w:b/>
                <w:noProof/>
                <w:color w:val="FF0000"/>
                <w:sz w:val="18"/>
                <w:szCs w:val="20"/>
              </w:rPr>
            </w:pPr>
            <w:r w:rsidRPr="00B30A10">
              <w:rPr>
                <w:rFonts w:ascii="Arial" w:hAnsi="Arial" w:cs="Arial"/>
                <w:b/>
                <w:noProof/>
                <w:color w:val="FF0000"/>
                <w:sz w:val="18"/>
                <w:szCs w:val="20"/>
              </w:rPr>
              <w:t>Non-contiguous</w:t>
            </w:r>
          </w:p>
        </w:tc>
        <w:tc>
          <w:tcPr>
            <w:tcW w:w="2169" w:type="pct"/>
            <w:tcBorders>
              <w:top w:val="single" w:sz="4" w:space="0" w:color="auto"/>
              <w:left w:val="single" w:sz="4" w:space="0" w:color="auto"/>
              <w:bottom w:val="single" w:sz="4" w:space="0" w:color="auto"/>
              <w:right w:val="single" w:sz="4" w:space="0" w:color="auto"/>
            </w:tcBorders>
            <w:hideMark/>
          </w:tcPr>
          <w:p w14:paraId="4EFA1B8B" w14:textId="77777777" w:rsidR="00016776" w:rsidRPr="00B30A10" w:rsidRDefault="00016776" w:rsidP="000F728B">
            <w:pPr>
              <w:widowControl/>
              <w:numPr>
                <w:ilvl w:val="0"/>
                <w:numId w:val="32"/>
              </w:numPr>
              <w:snapToGrid w:val="0"/>
              <w:spacing w:after="60"/>
              <w:jc w:val="left"/>
              <w:rPr>
                <w:rFonts w:ascii="Arial" w:hAnsi="Arial" w:cs="Arial"/>
                <w:noProof/>
                <w:sz w:val="18"/>
                <w:szCs w:val="20"/>
              </w:rPr>
            </w:pPr>
            <w:r w:rsidRPr="00B30A10">
              <w:rPr>
                <w:rFonts w:ascii="Arial" w:hAnsi="Arial" w:cs="Arial"/>
                <w:noProof/>
                <w:sz w:val="18"/>
                <w:szCs w:val="20"/>
              </w:rPr>
              <w:t>Contiguous/Non-contiguous</w:t>
            </w:r>
          </w:p>
          <w:p w14:paraId="6BFF76E4" w14:textId="77777777" w:rsidR="00016776" w:rsidRPr="00B30A10" w:rsidRDefault="00016776" w:rsidP="000F728B">
            <w:pPr>
              <w:snapToGrid w:val="0"/>
              <w:spacing w:after="60"/>
              <w:ind w:left="100"/>
              <w:rPr>
                <w:rFonts w:ascii="Arial" w:hAnsi="Arial" w:cs="Arial"/>
                <w:noProof/>
                <w:sz w:val="18"/>
                <w:szCs w:val="20"/>
              </w:rPr>
            </w:pPr>
            <w:r w:rsidRPr="00B30A10">
              <w:rPr>
                <w:rFonts w:ascii="Arial" w:hAnsi="Arial" w:cs="Arial"/>
                <w:noProof/>
                <w:sz w:val="18"/>
                <w:szCs w:val="20"/>
                <w:highlight w:val="yellow"/>
              </w:rPr>
              <w:t>NOTE: “Case 3”</w:t>
            </w:r>
            <w:r w:rsidRPr="00B30A10">
              <w:rPr>
                <w:rFonts w:ascii="Arial" w:hAnsi="Arial" w:cs="Arial"/>
                <w:noProof/>
                <w:sz w:val="18"/>
                <w:szCs w:val="20"/>
              </w:rPr>
              <w:t xml:space="preserve"> </w:t>
            </w:r>
          </w:p>
        </w:tc>
      </w:tr>
      <w:tr w:rsidR="00016776" w:rsidRPr="002E5569" w14:paraId="1A51985D" w14:textId="77777777" w:rsidTr="000F728B">
        <w:tc>
          <w:tcPr>
            <w:tcW w:w="663" w:type="pct"/>
            <w:tcBorders>
              <w:top w:val="single" w:sz="4" w:space="0" w:color="auto"/>
              <w:left w:val="single" w:sz="4" w:space="0" w:color="auto"/>
              <w:bottom w:val="single" w:sz="4" w:space="0" w:color="auto"/>
              <w:right w:val="single" w:sz="4" w:space="0" w:color="auto"/>
            </w:tcBorders>
            <w:hideMark/>
          </w:tcPr>
          <w:p w14:paraId="6678E0CC" w14:textId="77777777" w:rsidR="00016776" w:rsidRPr="00B30A10" w:rsidRDefault="00016776" w:rsidP="000F728B">
            <w:pPr>
              <w:snapToGrid w:val="0"/>
              <w:spacing w:after="60"/>
              <w:ind w:left="100"/>
              <w:jc w:val="center"/>
              <w:rPr>
                <w:rFonts w:ascii="Arial" w:hAnsi="Arial" w:cs="Arial"/>
                <w:noProof/>
                <w:sz w:val="18"/>
                <w:szCs w:val="20"/>
              </w:rPr>
            </w:pPr>
            <w:r w:rsidRPr="00B30A10">
              <w:rPr>
                <w:rFonts w:ascii="Arial" w:hAnsi="Arial" w:cs="Arial"/>
                <w:noProof/>
                <w:sz w:val="18"/>
                <w:szCs w:val="20"/>
              </w:rPr>
              <w:t>3</w:t>
            </w:r>
          </w:p>
        </w:tc>
        <w:tc>
          <w:tcPr>
            <w:tcW w:w="1125" w:type="pct"/>
            <w:tcBorders>
              <w:top w:val="single" w:sz="4" w:space="0" w:color="auto"/>
              <w:left w:val="single" w:sz="4" w:space="0" w:color="auto"/>
              <w:bottom w:val="single" w:sz="4" w:space="0" w:color="auto"/>
              <w:right w:val="single" w:sz="4" w:space="0" w:color="auto"/>
            </w:tcBorders>
            <w:hideMark/>
          </w:tcPr>
          <w:p w14:paraId="4654ECD8" w14:textId="77777777" w:rsidR="00016776" w:rsidRPr="00B30A10" w:rsidRDefault="00016776" w:rsidP="000F728B">
            <w:pPr>
              <w:snapToGrid w:val="0"/>
              <w:spacing w:after="60"/>
              <w:ind w:left="100"/>
              <w:rPr>
                <w:rFonts w:ascii="Arial" w:hAnsi="Arial" w:cs="Arial"/>
                <w:noProof/>
                <w:sz w:val="18"/>
                <w:szCs w:val="20"/>
              </w:rPr>
            </w:pPr>
            <w:r w:rsidRPr="00B30A10">
              <w:rPr>
                <w:rFonts w:ascii="Arial" w:hAnsi="Arial" w:cs="Arial"/>
                <w:noProof/>
                <w:sz w:val="18"/>
                <w:szCs w:val="20"/>
              </w:rPr>
              <w:t>Non-contiguous</w:t>
            </w:r>
          </w:p>
        </w:tc>
        <w:tc>
          <w:tcPr>
            <w:tcW w:w="1044" w:type="pct"/>
            <w:tcBorders>
              <w:top w:val="single" w:sz="4" w:space="0" w:color="auto"/>
              <w:left w:val="single" w:sz="4" w:space="0" w:color="auto"/>
              <w:bottom w:val="single" w:sz="4" w:space="0" w:color="auto"/>
              <w:right w:val="single" w:sz="4" w:space="0" w:color="auto"/>
            </w:tcBorders>
            <w:hideMark/>
          </w:tcPr>
          <w:p w14:paraId="430EE22D" w14:textId="77777777" w:rsidR="00016776" w:rsidRPr="00B30A10" w:rsidRDefault="00016776" w:rsidP="000F728B">
            <w:pPr>
              <w:snapToGrid w:val="0"/>
              <w:spacing w:after="60"/>
              <w:ind w:left="100"/>
              <w:rPr>
                <w:rFonts w:ascii="Arial" w:hAnsi="Arial" w:cs="Arial"/>
                <w:noProof/>
                <w:sz w:val="18"/>
                <w:szCs w:val="20"/>
              </w:rPr>
            </w:pPr>
            <w:r w:rsidRPr="00B30A10">
              <w:rPr>
                <w:rFonts w:ascii="Arial" w:hAnsi="Arial" w:cs="Arial"/>
                <w:noProof/>
                <w:sz w:val="18"/>
                <w:szCs w:val="20"/>
              </w:rPr>
              <w:t>Absent</w:t>
            </w:r>
          </w:p>
        </w:tc>
        <w:tc>
          <w:tcPr>
            <w:tcW w:w="2169" w:type="pct"/>
            <w:tcBorders>
              <w:top w:val="single" w:sz="4" w:space="0" w:color="auto"/>
              <w:left w:val="single" w:sz="4" w:space="0" w:color="auto"/>
              <w:bottom w:val="single" w:sz="4" w:space="0" w:color="auto"/>
              <w:right w:val="single" w:sz="4" w:space="0" w:color="auto"/>
            </w:tcBorders>
            <w:hideMark/>
          </w:tcPr>
          <w:p w14:paraId="2D07ABAB" w14:textId="77777777" w:rsidR="00016776" w:rsidRPr="00B30A10" w:rsidRDefault="00016776" w:rsidP="000F728B">
            <w:pPr>
              <w:widowControl/>
              <w:numPr>
                <w:ilvl w:val="0"/>
                <w:numId w:val="32"/>
              </w:numPr>
              <w:snapToGrid w:val="0"/>
              <w:spacing w:after="60"/>
              <w:jc w:val="left"/>
              <w:rPr>
                <w:rFonts w:ascii="Arial" w:hAnsi="Arial" w:cs="Arial"/>
                <w:noProof/>
                <w:sz w:val="18"/>
                <w:szCs w:val="20"/>
              </w:rPr>
            </w:pPr>
            <w:r w:rsidRPr="00B30A10">
              <w:rPr>
                <w:rFonts w:ascii="Arial" w:hAnsi="Arial" w:cs="Arial"/>
                <w:noProof/>
                <w:sz w:val="18"/>
                <w:szCs w:val="20"/>
              </w:rPr>
              <w:t>Non-contiguous/Non-contiguous</w:t>
            </w:r>
          </w:p>
        </w:tc>
      </w:tr>
      <w:tr w:rsidR="00016776" w:rsidRPr="002E5569" w14:paraId="313AD709" w14:textId="77777777" w:rsidTr="000F728B">
        <w:tc>
          <w:tcPr>
            <w:tcW w:w="663" w:type="pct"/>
            <w:tcBorders>
              <w:top w:val="single" w:sz="4" w:space="0" w:color="auto"/>
              <w:left w:val="single" w:sz="4" w:space="0" w:color="auto"/>
              <w:bottom w:val="single" w:sz="4" w:space="0" w:color="auto"/>
              <w:right w:val="single" w:sz="4" w:space="0" w:color="auto"/>
            </w:tcBorders>
            <w:hideMark/>
          </w:tcPr>
          <w:p w14:paraId="474EE813" w14:textId="77777777" w:rsidR="00016776" w:rsidRPr="00B30A10" w:rsidRDefault="00016776" w:rsidP="000F728B">
            <w:pPr>
              <w:snapToGrid w:val="0"/>
              <w:spacing w:after="60"/>
              <w:ind w:left="100"/>
              <w:jc w:val="center"/>
              <w:rPr>
                <w:rFonts w:ascii="Arial" w:hAnsi="Arial" w:cs="Arial"/>
                <w:noProof/>
                <w:sz w:val="18"/>
                <w:szCs w:val="20"/>
              </w:rPr>
            </w:pPr>
            <w:r w:rsidRPr="00B30A10">
              <w:rPr>
                <w:rFonts w:ascii="Arial" w:hAnsi="Arial" w:cs="Arial"/>
                <w:noProof/>
                <w:sz w:val="18"/>
                <w:szCs w:val="20"/>
              </w:rPr>
              <w:t>4</w:t>
            </w:r>
          </w:p>
        </w:tc>
        <w:tc>
          <w:tcPr>
            <w:tcW w:w="1125" w:type="pct"/>
            <w:tcBorders>
              <w:top w:val="single" w:sz="4" w:space="0" w:color="auto"/>
              <w:left w:val="single" w:sz="4" w:space="0" w:color="auto"/>
              <w:bottom w:val="single" w:sz="4" w:space="0" w:color="auto"/>
              <w:right w:val="single" w:sz="4" w:space="0" w:color="auto"/>
            </w:tcBorders>
            <w:hideMark/>
          </w:tcPr>
          <w:p w14:paraId="3929F4E6" w14:textId="77777777" w:rsidR="00016776" w:rsidRPr="00B30A10" w:rsidRDefault="00016776" w:rsidP="000F728B">
            <w:pPr>
              <w:snapToGrid w:val="0"/>
              <w:spacing w:after="60"/>
              <w:ind w:left="100"/>
              <w:rPr>
                <w:rFonts w:ascii="Arial" w:hAnsi="Arial" w:cs="Arial"/>
                <w:noProof/>
                <w:sz w:val="18"/>
                <w:szCs w:val="20"/>
              </w:rPr>
            </w:pPr>
            <w:r w:rsidRPr="00B30A10">
              <w:rPr>
                <w:rFonts w:ascii="Arial" w:hAnsi="Arial" w:cs="Arial"/>
                <w:noProof/>
                <w:sz w:val="18"/>
                <w:szCs w:val="20"/>
              </w:rPr>
              <w:t>Both</w:t>
            </w:r>
          </w:p>
        </w:tc>
        <w:tc>
          <w:tcPr>
            <w:tcW w:w="1044" w:type="pct"/>
            <w:tcBorders>
              <w:top w:val="single" w:sz="4" w:space="0" w:color="auto"/>
              <w:left w:val="single" w:sz="4" w:space="0" w:color="auto"/>
              <w:bottom w:val="single" w:sz="4" w:space="0" w:color="auto"/>
              <w:right w:val="single" w:sz="4" w:space="0" w:color="auto"/>
            </w:tcBorders>
            <w:hideMark/>
          </w:tcPr>
          <w:p w14:paraId="19A4E6C9" w14:textId="77777777" w:rsidR="00016776" w:rsidRPr="00B30A10" w:rsidRDefault="00016776" w:rsidP="000F728B">
            <w:pPr>
              <w:snapToGrid w:val="0"/>
              <w:spacing w:after="60"/>
              <w:ind w:left="100"/>
              <w:rPr>
                <w:rFonts w:ascii="Arial" w:hAnsi="Arial" w:cs="Arial"/>
                <w:noProof/>
                <w:sz w:val="18"/>
                <w:szCs w:val="20"/>
              </w:rPr>
            </w:pPr>
            <w:r w:rsidRPr="00B30A10">
              <w:rPr>
                <w:rFonts w:ascii="Arial" w:hAnsi="Arial" w:cs="Arial"/>
                <w:noProof/>
                <w:sz w:val="18"/>
                <w:szCs w:val="20"/>
              </w:rPr>
              <w:t>Absent</w:t>
            </w:r>
          </w:p>
        </w:tc>
        <w:tc>
          <w:tcPr>
            <w:tcW w:w="2169" w:type="pct"/>
            <w:tcBorders>
              <w:top w:val="single" w:sz="4" w:space="0" w:color="auto"/>
              <w:left w:val="single" w:sz="4" w:space="0" w:color="auto"/>
              <w:bottom w:val="single" w:sz="4" w:space="0" w:color="auto"/>
              <w:right w:val="single" w:sz="4" w:space="0" w:color="auto"/>
            </w:tcBorders>
            <w:hideMark/>
          </w:tcPr>
          <w:p w14:paraId="66366E94" w14:textId="77777777" w:rsidR="00016776" w:rsidRPr="00B30A10" w:rsidRDefault="00016776" w:rsidP="000F728B">
            <w:pPr>
              <w:widowControl/>
              <w:numPr>
                <w:ilvl w:val="0"/>
                <w:numId w:val="32"/>
              </w:numPr>
              <w:snapToGrid w:val="0"/>
              <w:spacing w:after="60"/>
              <w:jc w:val="left"/>
              <w:rPr>
                <w:rFonts w:ascii="Arial" w:hAnsi="Arial" w:cs="Arial"/>
                <w:noProof/>
                <w:sz w:val="18"/>
                <w:szCs w:val="20"/>
              </w:rPr>
            </w:pPr>
            <w:r w:rsidRPr="00B30A10">
              <w:rPr>
                <w:rFonts w:ascii="Arial" w:hAnsi="Arial" w:cs="Arial"/>
                <w:noProof/>
                <w:sz w:val="18"/>
                <w:szCs w:val="20"/>
              </w:rPr>
              <w:t>Contiguous/contiguous</w:t>
            </w:r>
          </w:p>
          <w:p w14:paraId="513D217F" w14:textId="77777777" w:rsidR="00016776" w:rsidRPr="00B30A10" w:rsidRDefault="00016776" w:rsidP="000F728B">
            <w:pPr>
              <w:widowControl/>
              <w:numPr>
                <w:ilvl w:val="0"/>
                <w:numId w:val="32"/>
              </w:numPr>
              <w:snapToGrid w:val="0"/>
              <w:spacing w:after="60"/>
              <w:jc w:val="left"/>
              <w:rPr>
                <w:rFonts w:ascii="Arial" w:hAnsi="Arial" w:cs="Arial"/>
                <w:noProof/>
                <w:sz w:val="18"/>
                <w:szCs w:val="20"/>
              </w:rPr>
            </w:pPr>
            <w:r w:rsidRPr="00B30A10">
              <w:rPr>
                <w:rFonts w:ascii="Arial" w:hAnsi="Arial" w:cs="Arial"/>
                <w:noProof/>
                <w:sz w:val="18"/>
                <w:szCs w:val="20"/>
              </w:rPr>
              <w:lastRenderedPageBreak/>
              <w:t>Non-contiguous/Non-contiguous</w:t>
            </w:r>
          </w:p>
        </w:tc>
      </w:tr>
      <w:tr w:rsidR="00016776" w:rsidRPr="002E5569" w14:paraId="690B3E28" w14:textId="77777777" w:rsidTr="000F728B">
        <w:tc>
          <w:tcPr>
            <w:tcW w:w="663" w:type="pct"/>
            <w:tcBorders>
              <w:top w:val="single" w:sz="4" w:space="0" w:color="auto"/>
              <w:left w:val="single" w:sz="4" w:space="0" w:color="auto"/>
              <w:bottom w:val="single" w:sz="4" w:space="0" w:color="auto"/>
              <w:right w:val="single" w:sz="4" w:space="0" w:color="auto"/>
            </w:tcBorders>
            <w:hideMark/>
          </w:tcPr>
          <w:p w14:paraId="39583C34" w14:textId="77777777" w:rsidR="00016776" w:rsidRPr="00B30A10" w:rsidRDefault="00016776" w:rsidP="000F728B">
            <w:pPr>
              <w:snapToGrid w:val="0"/>
              <w:spacing w:after="60"/>
              <w:ind w:left="100"/>
              <w:jc w:val="center"/>
              <w:rPr>
                <w:rFonts w:ascii="Arial" w:hAnsi="Arial" w:cs="Arial"/>
                <w:noProof/>
                <w:sz w:val="18"/>
                <w:szCs w:val="20"/>
              </w:rPr>
            </w:pPr>
            <w:r w:rsidRPr="00B30A10">
              <w:rPr>
                <w:rFonts w:ascii="Arial" w:hAnsi="Arial" w:cs="Arial"/>
                <w:noProof/>
                <w:sz w:val="18"/>
                <w:szCs w:val="20"/>
              </w:rPr>
              <w:lastRenderedPageBreak/>
              <w:t>5</w:t>
            </w:r>
          </w:p>
        </w:tc>
        <w:tc>
          <w:tcPr>
            <w:tcW w:w="1125" w:type="pct"/>
            <w:tcBorders>
              <w:top w:val="single" w:sz="4" w:space="0" w:color="auto"/>
              <w:left w:val="single" w:sz="4" w:space="0" w:color="auto"/>
              <w:bottom w:val="single" w:sz="4" w:space="0" w:color="auto"/>
              <w:right w:val="single" w:sz="4" w:space="0" w:color="auto"/>
            </w:tcBorders>
            <w:hideMark/>
          </w:tcPr>
          <w:p w14:paraId="090A58C2" w14:textId="77777777" w:rsidR="00016776" w:rsidRPr="00B30A10" w:rsidRDefault="00016776" w:rsidP="000F728B">
            <w:pPr>
              <w:snapToGrid w:val="0"/>
              <w:spacing w:after="60"/>
              <w:ind w:left="100"/>
              <w:rPr>
                <w:rFonts w:ascii="Arial" w:hAnsi="Arial" w:cs="Arial"/>
                <w:noProof/>
                <w:sz w:val="18"/>
                <w:szCs w:val="20"/>
              </w:rPr>
            </w:pPr>
            <w:r w:rsidRPr="00B30A10">
              <w:rPr>
                <w:rFonts w:ascii="Arial" w:hAnsi="Arial" w:cs="Arial"/>
                <w:noProof/>
                <w:sz w:val="18"/>
                <w:szCs w:val="20"/>
              </w:rPr>
              <w:t>Both</w:t>
            </w:r>
          </w:p>
        </w:tc>
        <w:tc>
          <w:tcPr>
            <w:tcW w:w="1044" w:type="pct"/>
            <w:tcBorders>
              <w:top w:val="single" w:sz="4" w:space="0" w:color="auto"/>
              <w:left w:val="single" w:sz="4" w:space="0" w:color="auto"/>
              <w:bottom w:val="single" w:sz="4" w:space="0" w:color="auto"/>
              <w:right w:val="single" w:sz="4" w:space="0" w:color="auto"/>
            </w:tcBorders>
            <w:hideMark/>
          </w:tcPr>
          <w:p w14:paraId="6CFBB0FD" w14:textId="77777777" w:rsidR="00016776" w:rsidRPr="00B30A10" w:rsidRDefault="00016776" w:rsidP="000F728B">
            <w:pPr>
              <w:snapToGrid w:val="0"/>
              <w:spacing w:after="60"/>
              <w:ind w:left="100"/>
              <w:rPr>
                <w:rFonts w:ascii="Arial" w:hAnsi="Arial" w:cs="Arial"/>
                <w:noProof/>
                <w:sz w:val="18"/>
                <w:szCs w:val="20"/>
              </w:rPr>
            </w:pPr>
            <w:r w:rsidRPr="00B30A10">
              <w:rPr>
                <w:rFonts w:ascii="Arial" w:hAnsi="Arial" w:cs="Arial"/>
                <w:noProof/>
                <w:sz w:val="18"/>
                <w:szCs w:val="20"/>
              </w:rPr>
              <w:t>Non-contiguous</w:t>
            </w:r>
          </w:p>
        </w:tc>
        <w:tc>
          <w:tcPr>
            <w:tcW w:w="2169" w:type="pct"/>
            <w:tcBorders>
              <w:top w:val="single" w:sz="4" w:space="0" w:color="auto"/>
              <w:left w:val="single" w:sz="4" w:space="0" w:color="auto"/>
              <w:bottom w:val="single" w:sz="4" w:space="0" w:color="auto"/>
              <w:right w:val="single" w:sz="4" w:space="0" w:color="auto"/>
            </w:tcBorders>
            <w:hideMark/>
          </w:tcPr>
          <w:p w14:paraId="0EC1C1B0" w14:textId="77777777" w:rsidR="00016776" w:rsidRPr="00B30A10" w:rsidRDefault="00016776" w:rsidP="000F728B">
            <w:pPr>
              <w:widowControl/>
              <w:numPr>
                <w:ilvl w:val="0"/>
                <w:numId w:val="32"/>
              </w:numPr>
              <w:snapToGrid w:val="0"/>
              <w:spacing w:after="60"/>
              <w:jc w:val="left"/>
              <w:rPr>
                <w:rFonts w:ascii="Arial" w:hAnsi="Arial" w:cs="Arial"/>
                <w:noProof/>
                <w:sz w:val="18"/>
                <w:szCs w:val="20"/>
              </w:rPr>
            </w:pPr>
            <w:r w:rsidRPr="00B30A10">
              <w:rPr>
                <w:rFonts w:ascii="Arial" w:hAnsi="Arial" w:cs="Arial"/>
                <w:noProof/>
                <w:sz w:val="18"/>
                <w:szCs w:val="20"/>
              </w:rPr>
              <w:t>Contiguous/Non-contiguous</w:t>
            </w:r>
          </w:p>
          <w:p w14:paraId="3A304671" w14:textId="77777777" w:rsidR="00016776" w:rsidRPr="00B30A10" w:rsidRDefault="00016776" w:rsidP="000F728B">
            <w:pPr>
              <w:widowControl/>
              <w:numPr>
                <w:ilvl w:val="0"/>
                <w:numId w:val="32"/>
              </w:numPr>
              <w:snapToGrid w:val="0"/>
              <w:spacing w:after="60"/>
              <w:jc w:val="left"/>
              <w:rPr>
                <w:rFonts w:ascii="Arial" w:hAnsi="Arial" w:cs="Arial"/>
                <w:noProof/>
                <w:sz w:val="18"/>
                <w:szCs w:val="20"/>
              </w:rPr>
            </w:pPr>
            <w:r w:rsidRPr="00B30A10">
              <w:rPr>
                <w:rFonts w:ascii="Arial" w:hAnsi="Arial" w:cs="Arial"/>
                <w:noProof/>
                <w:sz w:val="18"/>
                <w:szCs w:val="20"/>
              </w:rPr>
              <w:t>Non-contiguous/Non-contiguous</w:t>
            </w:r>
          </w:p>
        </w:tc>
      </w:tr>
      <w:tr w:rsidR="00016776" w:rsidRPr="002E5569" w14:paraId="61FE3E63" w14:textId="77777777" w:rsidTr="000F728B">
        <w:tc>
          <w:tcPr>
            <w:tcW w:w="663" w:type="pct"/>
            <w:tcBorders>
              <w:top w:val="single" w:sz="4" w:space="0" w:color="auto"/>
              <w:left w:val="single" w:sz="4" w:space="0" w:color="auto"/>
              <w:bottom w:val="single" w:sz="4" w:space="0" w:color="auto"/>
              <w:right w:val="single" w:sz="4" w:space="0" w:color="auto"/>
            </w:tcBorders>
            <w:hideMark/>
          </w:tcPr>
          <w:p w14:paraId="6F5C6DF4" w14:textId="77777777" w:rsidR="00016776" w:rsidRPr="00B30A10" w:rsidRDefault="00016776" w:rsidP="000F728B">
            <w:pPr>
              <w:snapToGrid w:val="0"/>
              <w:spacing w:after="60"/>
              <w:ind w:left="100"/>
              <w:jc w:val="center"/>
              <w:rPr>
                <w:rFonts w:ascii="Arial" w:hAnsi="Arial" w:cs="Arial"/>
                <w:noProof/>
                <w:sz w:val="18"/>
                <w:szCs w:val="20"/>
              </w:rPr>
            </w:pPr>
            <w:r w:rsidRPr="00B30A10">
              <w:rPr>
                <w:rFonts w:ascii="Arial" w:hAnsi="Arial" w:cs="Arial"/>
                <w:noProof/>
                <w:sz w:val="18"/>
                <w:szCs w:val="20"/>
              </w:rPr>
              <w:t>6</w:t>
            </w:r>
          </w:p>
        </w:tc>
        <w:tc>
          <w:tcPr>
            <w:tcW w:w="1125" w:type="pct"/>
            <w:tcBorders>
              <w:top w:val="single" w:sz="4" w:space="0" w:color="auto"/>
              <w:left w:val="single" w:sz="4" w:space="0" w:color="auto"/>
              <w:bottom w:val="single" w:sz="4" w:space="0" w:color="auto"/>
              <w:right w:val="single" w:sz="4" w:space="0" w:color="auto"/>
            </w:tcBorders>
            <w:hideMark/>
          </w:tcPr>
          <w:p w14:paraId="47F31949" w14:textId="77777777" w:rsidR="00016776" w:rsidRPr="00B30A10" w:rsidRDefault="00016776" w:rsidP="000F728B">
            <w:pPr>
              <w:snapToGrid w:val="0"/>
              <w:spacing w:after="60"/>
              <w:ind w:left="100"/>
              <w:rPr>
                <w:rFonts w:ascii="Arial" w:hAnsi="Arial" w:cs="Arial"/>
                <w:b/>
                <w:noProof/>
                <w:color w:val="FF0000"/>
                <w:sz w:val="18"/>
                <w:szCs w:val="20"/>
              </w:rPr>
            </w:pPr>
            <w:r w:rsidRPr="00B30A10">
              <w:rPr>
                <w:rFonts w:ascii="Arial" w:hAnsi="Arial" w:cs="Arial"/>
                <w:b/>
                <w:noProof/>
                <w:color w:val="FF0000"/>
                <w:sz w:val="18"/>
                <w:szCs w:val="20"/>
              </w:rPr>
              <w:t>Absent (Contiguous)</w:t>
            </w:r>
          </w:p>
        </w:tc>
        <w:tc>
          <w:tcPr>
            <w:tcW w:w="1044" w:type="pct"/>
            <w:tcBorders>
              <w:top w:val="single" w:sz="4" w:space="0" w:color="auto"/>
              <w:left w:val="single" w:sz="4" w:space="0" w:color="auto"/>
              <w:bottom w:val="single" w:sz="4" w:space="0" w:color="auto"/>
              <w:right w:val="single" w:sz="4" w:space="0" w:color="auto"/>
            </w:tcBorders>
            <w:hideMark/>
          </w:tcPr>
          <w:p w14:paraId="541DD1DF" w14:textId="77777777" w:rsidR="00016776" w:rsidRPr="00B30A10" w:rsidRDefault="00016776" w:rsidP="000F728B">
            <w:pPr>
              <w:snapToGrid w:val="0"/>
              <w:spacing w:after="60"/>
              <w:ind w:left="100"/>
              <w:rPr>
                <w:rFonts w:ascii="Arial" w:hAnsi="Arial" w:cs="Arial"/>
                <w:b/>
                <w:noProof/>
                <w:color w:val="FF0000"/>
                <w:sz w:val="18"/>
                <w:szCs w:val="20"/>
              </w:rPr>
            </w:pPr>
            <w:r w:rsidRPr="00B30A10">
              <w:rPr>
                <w:rFonts w:ascii="Arial" w:hAnsi="Arial" w:cs="Arial"/>
                <w:b/>
                <w:noProof/>
                <w:color w:val="FF0000"/>
                <w:sz w:val="18"/>
                <w:szCs w:val="20"/>
              </w:rPr>
              <w:t>Both</w:t>
            </w:r>
          </w:p>
        </w:tc>
        <w:tc>
          <w:tcPr>
            <w:tcW w:w="2169" w:type="pct"/>
            <w:tcBorders>
              <w:top w:val="single" w:sz="4" w:space="0" w:color="auto"/>
              <w:left w:val="single" w:sz="4" w:space="0" w:color="auto"/>
              <w:bottom w:val="single" w:sz="4" w:space="0" w:color="auto"/>
              <w:right w:val="single" w:sz="4" w:space="0" w:color="auto"/>
            </w:tcBorders>
            <w:hideMark/>
          </w:tcPr>
          <w:p w14:paraId="17093560" w14:textId="77777777" w:rsidR="00016776" w:rsidRPr="00B30A10" w:rsidRDefault="00016776" w:rsidP="000F728B">
            <w:pPr>
              <w:widowControl/>
              <w:numPr>
                <w:ilvl w:val="0"/>
                <w:numId w:val="32"/>
              </w:numPr>
              <w:snapToGrid w:val="0"/>
              <w:spacing w:after="60"/>
              <w:jc w:val="left"/>
              <w:rPr>
                <w:rFonts w:ascii="Arial" w:hAnsi="Arial" w:cs="Arial"/>
                <w:noProof/>
                <w:sz w:val="18"/>
                <w:szCs w:val="20"/>
              </w:rPr>
            </w:pPr>
            <w:r w:rsidRPr="00B30A10">
              <w:rPr>
                <w:rFonts w:ascii="Arial" w:hAnsi="Arial" w:cs="Arial"/>
                <w:noProof/>
                <w:sz w:val="18"/>
                <w:szCs w:val="20"/>
              </w:rPr>
              <w:t>Contiguous/Contiguous</w:t>
            </w:r>
          </w:p>
          <w:p w14:paraId="575163CA" w14:textId="77777777" w:rsidR="00016776" w:rsidRPr="00B30A10" w:rsidRDefault="00016776" w:rsidP="000F728B">
            <w:pPr>
              <w:widowControl/>
              <w:numPr>
                <w:ilvl w:val="0"/>
                <w:numId w:val="32"/>
              </w:numPr>
              <w:snapToGrid w:val="0"/>
              <w:spacing w:after="60"/>
              <w:jc w:val="left"/>
              <w:rPr>
                <w:rFonts w:ascii="Arial" w:hAnsi="Arial" w:cs="Arial"/>
                <w:noProof/>
                <w:sz w:val="18"/>
                <w:szCs w:val="20"/>
              </w:rPr>
            </w:pPr>
            <w:r w:rsidRPr="00B30A10">
              <w:rPr>
                <w:rFonts w:ascii="Arial" w:hAnsi="Arial" w:cs="Arial"/>
                <w:noProof/>
                <w:sz w:val="18"/>
                <w:szCs w:val="20"/>
              </w:rPr>
              <w:t>Contiguous/Non-contiguous</w:t>
            </w:r>
          </w:p>
          <w:p w14:paraId="686E13E6" w14:textId="77777777" w:rsidR="00016776" w:rsidRPr="00B30A10" w:rsidRDefault="00016776" w:rsidP="000F728B">
            <w:pPr>
              <w:snapToGrid w:val="0"/>
              <w:spacing w:after="60"/>
              <w:ind w:left="100"/>
              <w:rPr>
                <w:rFonts w:ascii="Arial" w:hAnsi="Arial" w:cs="Arial"/>
                <w:noProof/>
                <w:sz w:val="18"/>
                <w:szCs w:val="20"/>
              </w:rPr>
            </w:pPr>
            <w:r w:rsidRPr="00B30A10">
              <w:rPr>
                <w:rFonts w:ascii="Arial" w:hAnsi="Arial" w:cs="Arial"/>
                <w:noProof/>
                <w:sz w:val="18"/>
                <w:szCs w:val="20"/>
                <w:highlight w:val="yellow"/>
              </w:rPr>
              <w:t>NOTE: “Case 4”</w:t>
            </w:r>
            <w:r w:rsidRPr="00B30A10">
              <w:rPr>
                <w:rFonts w:ascii="Arial" w:hAnsi="Arial" w:cs="Arial"/>
                <w:noProof/>
                <w:sz w:val="18"/>
                <w:szCs w:val="20"/>
              </w:rPr>
              <w:t xml:space="preserve"> </w:t>
            </w:r>
          </w:p>
        </w:tc>
      </w:tr>
      <w:tr w:rsidR="00016776" w:rsidRPr="002E5569" w14:paraId="35852A1D" w14:textId="77777777" w:rsidTr="000F728B">
        <w:tc>
          <w:tcPr>
            <w:tcW w:w="663" w:type="pct"/>
            <w:tcBorders>
              <w:top w:val="single" w:sz="4" w:space="0" w:color="auto"/>
              <w:left w:val="single" w:sz="4" w:space="0" w:color="auto"/>
              <w:bottom w:val="single" w:sz="4" w:space="0" w:color="auto"/>
              <w:right w:val="single" w:sz="4" w:space="0" w:color="auto"/>
            </w:tcBorders>
            <w:hideMark/>
          </w:tcPr>
          <w:p w14:paraId="71AC4204" w14:textId="77777777" w:rsidR="00016776" w:rsidRPr="00B30A10" w:rsidRDefault="00016776" w:rsidP="000F728B">
            <w:pPr>
              <w:snapToGrid w:val="0"/>
              <w:spacing w:after="60"/>
              <w:ind w:left="100"/>
              <w:jc w:val="center"/>
              <w:rPr>
                <w:rFonts w:ascii="Arial" w:hAnsi="Arial" w:cs="Arial"/>
                <w:noProof/>
                <w:sz w:val="18"/>
                <w:szCs w:val="20"/>
              </w:rPr>
            </w:pPr>
            <w:r w:rsidRPr="00B30A10">
              <w:rPr>
                <w:rFonts w:ascii="Arial" w:hAnsi="Arial" w:cs="Arial"/>
                <w:noProof/>
                <w:sz w:val="18"/>
                <w:szCs w:val="20"/>
              </w:rPr>
              <w:t>7</w:t>
            </w:r>
          </w:p>
        </w:tc>
        <w:tc>
          <w:tcPr>
            <w:tcW w:w="1125" w:type="pct"/>
            <w:tcBorders>
              <w:top w:val="single" w:sz="4" w:space="0" w:color="auto"/>
              <w:left w:val="single" w:sz="4" w:space="0" w:color="auto"/>
              <w:bottom w:val="single" w:sz="4" w:space="0" w:color="auto"/>
              <w:right w:val="single" w:sz="4" w:space="0" w:color="auto"/>
            </w:tcBorders>
            <w:hideMark/>
          </w:tcPr>
          <w:p w14:paraId="786D7C6D" w14:textId="77777777" w:rsidR="00016776" w:rsidRPr="00B30A10" w:rsidRDefault="00016776" w:rsidP="000F728B">
            <w:pPr>
              <w:snapToGrid w:val="0"/>
              <w:spacing w:after="60"/>
              <w:ind w:left="100"/>
              <w:rPr>
                <w:rFonts w:ascii="Arial" w:hAnsi="Arial" w:cs="Arial"/>
                <w:noProof/>
                <w:sz w:val="18"/>
                <w:szCs w:val="20"/>
              </w:rPr>
            </w:pPr>
            <w:r w:rsidRPr="00B30A10">
              <w:rPr>
                <w:rFonts w:ascii="Arial" w:hAnsi="Arial" w:cs="Arial"/>
                <w:noProof/>
                <w:sz w:val="18"/>
                <w:szCs w:val="20"/>
              </w:rPr>
              <w:t>Both</w:t>
            </w:r>
          </w:p>
        </w:tc>
        <w:tc>
          <w:tcPr>
            <w:tcW w:w="1044" w:type="pct"/>
            <w:tcBorders>
              <w:top w:val="single" w:sz="4" w:space="0" w:color="auto"/>
              <w:left w:val="single" w:sz="4" w:space="0" w:color="auto"/>
              <w:bottom w:val="single" w:sz="4" w:space="0" w:color="auto"/>
              <w:right w:val="single" w:sz="4" w:space="0" w:color="auto"/>
            </w:tcBorders>
            <w:hideMark/>
          </w:tcPr>
          <w:p w14:paraId="1B4B4DDF" w14:textId="77777777" w:rsidR="00016776" w:rsidRPr="00B30A10" w:rsidRDefault="00016776" w:rsidP="000F728B">
            <w:pPr>
              <w:snapToGrid w:val="0"/>
              <w:spacing w:after="60"/>
              <w:ind w:left="100"/>
              <w:rPr>
                <w:rFonts w:ascii="Arial" w:hAnsi="Arial" w:cs="Arial"/>
                <w:noProof/>
                <w:sz w:val="18"/>
                <w:szCs w:val="20"/>
              </w:rPr>
            </w:pPr>
            <w:r w:rsidRPr="00B30A10">
              <w:rPr>
                <w:rFonts w:ascii="Arial" w:hAnsi="Arial" w:cs="Arial"/>
                <w:noProof/>
                <w:sz w:val="18"/>
                <w:szCs w:val="20"/>
              </w:rPr>
              <w:t>Both</w:t>
            </w:r>
          </w:p>
        </w:tc>
        <w:tc>
          <w:tcPr>
            <w:tcW w:w="2169" w:type="pct"/>
            <w:tcBorders>
              <w:top w:val="single" w:sz="4" w:space="0" w:color="auto"/>
              <w:left w:val="single" w:sz="4" w:space="0" w:color="auto"/>
              <w:bottom w:val="single" w:sz="4" w:space="0" w:color="auto"/>
              <w:right w:val="single" w:sz="4" w:space="0" w:color="auto"/>
            </w:tcBorders>
            <w:hideMark/>
          </w:tcPr>
          <w:p w14:paraId="32F7299F" w14:textId="77777777" w:rsidR="00016776" w:rsidRPr="00B30A10" w:rsidRDefault="00016776" w:rsidP="000F728B">
            <w:pPr>
              <w:widowControl/>
              <w:numPr>
                <w:ilvl w:val="0"/>
                <w:numId w:val="32"/>
              </w:numPr>
              <w:snapToGrid w:val="0"/>
              <w:spacing w:after="60"/>
              <w:jc w:val="left"/>
              <w:rPr>
                <w:rFonts w:ascii="Arial" w:hAnsi="Arial" w:cs="Arial"/>
                <w:noProof/>
                <w:sz w:val="18"/>
                <w:szCs w:val="20"/>
              </w:rPr>
            </w:pPr>
            <w:r w:rsidRPr="00B30A10">
              <w:rPr>
                <w:rFonts w:ascii="Arial" w:hAnsi="Arial" w:cs="Arial"/>
                <w:noProof/>
                <w:sz w:val="18"/>
                <w:szCs w:val="20"/>
              </w:rPr>
              <w:t>Contiguous/Contiguous</w:t>
            </w:r>
          </w:p>
          <w:p w14:paraId="4F0488C9" w14:textId="77777777" w:rsidR="00016776" w:rsidRPr="00B30A10" w:rsidRDefault="00016776" w:rsidP="000F728B">
            <w:pPr>
              <w:widowControl/>
              <w:numPr>
                <w:ilvl w:val="0"/>
                <w:numId w:val="32"/>
              </w:numPr>
              <w:snapToGrid w:val="0"/>
              <w:spacing w:after="60"/>
              <w:jc w:val="left"/>
              <w:rPr>
                <w:rFonts w:ascii="Arial" w:hAnsi="Arial" w:cs="Arial"/>
                <w:noProof/>
                <w:sz w:val="18"/>
                <w:szCs w:val="20"/>
              </w:rPr>
            </w:pPr>
            <w:r w:rsidRPr="00B30A10">
              <w:rPr>
                <w:rFonts w:ascii="Arial" w:hAnsi="Arial" w:cs="Arial"/>
                <w:noProof/>
                <w:sz w:val="18"/>
                <w:szCs w:val="20"/>
              </w:rPr>
              <w:t>Non-contiguous/Non-contiguous</w:t>
            </w:r>
          </w:p>
          <w:p w14:paraId="7C00608E" w14:textId="77777777" w:rsidR="00016776" w:rsidRPr="00B30A10" w:rsidRDefault="00016776" w:rsidP="000F728B">
            <w:pPr>
              <w:widowControl/>
              <w:numPr>
                <w:ilvl w:val="0"/>
                <w:numId w:val="32"/>
              </w:numPr>
              <w:snapToGrid w:val="0"/>
              <w:spacing w:after="60"/>
              <w:jc w:val="left"/>
              <w:rPr>
                <w:rFonts w:ascii="Arial" w:hAnsi="Arial" w:cs="Arial"/>
                <w:noProof/>
                <w:sz w:val="18"/>
                <w:szCs w:val="20"/>
              </w:rPr>
            </w:pPr>
            <w:r w:rsidRPr="00B30A10">
              <w:rPr>
                <w:rFonts w:ascii="Arial" w:hAnsi="Arial" w:cs="Arial"/>
                <w:noProof/>
                <w:sz w:val="18"/>
                <w:szCs w:val="20"/>
              </w:rPr>
              <w:t>Contiguous/Non-contiguous</w:t>
            </w:r>
          </w:p>
        </w:tc>
      </w:tr>
    </w:tbl>
    <w:p w14:paraId="21516C8F" w14:textId="0A04414A" w:rsidR="00941F56" w:rsidRDefault="00815151" w:rsidP="00B30A10">
      <w:pPr>
        <w:snapToGrid w:val="0"/>
        <w:spacing w:beforeLines="50" w:before="156"/>
        <w:rPr>
          <w:sz w:val="20"/>
        </w:rPr>
      </w:pPr>
      <w:r>
        <w:rPr>
          <w:sz w:val="20"/>
        </w:rPr>
        <w:t xml:space="preserve">In </w:t>
      </w:r>
      <w:r w:rsidRPr="001F139D">
        <w:rPr>
          <w:sz w:val="20"/>
        </w:rPr>
        <w:t>RAN4#107, most companies (8 sources) co-signed the CR</w:t>
      </w:r>
      <w:r w:rsidR="00941F56" w:rsidRPr="001F139D">
        <w:rPr>
          <w:sz w:val="20"/>
        </w:rPr>
        <w:t xml:space="preserve"> to 38.101-3 </w:t>
      </w:r>
      <w:r w:rsidRPr="001F139D">
        <w:rPr>
          <w:sz w:val="20"/>
        </w:rPr>
        <w:t>[</w:t>
      </w:r>
      <w:r w:rsidR="00443246">
        <w:rPr>
          <w:sz w:val="20"/>
        </w:rPr>
        <w:t>10</w:t>
      </w:r>
      <w:r w:rsidRPr="001F139D">
        <w:rPr>
          <w:sz w:val="20"/>
        </w:rPr>
        <w:t>]</w:t>
      </w:r>
      <w:r w:rsidR="00941F56" w:rsidRPr="001F139D">
        <w:rPr>
          <w:sz w:val="20"/>
        </w:rPr>
        <w:t xml:space="preserve"> regarding the feasible solution introduced in RAN2. Only one company </w:t>
      </w:r>
      <w:r w:rsidR="00DB1E3F" w:rsidRPr="001F139D">
        <w:rPr>
          <w:sz w:val="20"/>
        </w:rPr>
        <w:t xml:space="preserve">had </w:t>
      </w:r>
      <w:r w:rsidR="001F139D" w:rsidRPr="001F139D">
        <w:rPr>
          <w:sz w:val="20"/>
        </w:rPr>
        <w:t>different view for the CR, and provided alternative solution which would cause</w:t>
      </w:r>
      <w:r w:rsidR="00DB1E3F" w:rsidRPr="001F139D">
        <w:rPr>
          <w:sz w:val="20"/>
        </w:rPr>
        <w:t xml:space="preserve"> un-alignment in RAN2 and RAN4 specification at least for different releases, and further confusion</w:t>
      </w:r>
      <w:r w:rsidR="00941F56" w:rsidRPr="001F139D">
        <w:rPr>
          <w:sz w:val="20"/>
        </w:rPr>
        <w:t>.</w:t>
      </w:r>
      <w:r w:rsidR="00941F56">
        <w:rPr>
          <w:sz w:val="20"/>
        </w:rPr>
        <w:t xml:space="preserve"> </w:t>
      </w:r>
    </w:p>
    <w:p w14:paraId="7BFD8408" w14:textId="322708E2" w:rsidR="006E61F0" w:rsidRDefault="00941F56" w:rsidP="00344914">
      <w:pPr>
        <w:snapToGrid w:val="0"/>
        <w:rPr>
          <w:sz w:val="20"/>
        </w:rPr>
      </w:pPr>
      <w:r>
        <w:rPr>
          <w:sz w:val="20"/>
        </w:rPr>
        <w:t>Therefore, we discuss the feasibility of the solution that can be accepted by both RAN2 and RAN4 in this paper, and provide company CRs to RAN plenary</w:t>
      </w:r>
      <w:r w:rsidR="00F81BC5">
        <w:rPr>
          <w:sz w:val="20"/>
        </w:rPr>
        <w:t>.</w:t>
      </w:r>
      <w:r>
        <w:rPr>
          <w:sz w:val="20"/>
        </w:rPr>
        <w:t xml:space="preserve"> </w:t>
      </w:r>
      <w:r w:rsidR="00F81BC5">
        <w:rPr>
          <w:sz w:val="20"/>
        </w:rPr>
        <w:t xml:space="preserve">We </w:t>
      </w:r>
      <w:r>
        <w:rPr>
          <w:sz w:val="20"/>
        </w:rPr>
        <w:t xml:space="preserve">attempt to complete the RAN task, and avoid leaving the issue as endless discussion </w:t>
      </w:r>
      <w:r w:rsidR="00F81BC5">
        <w:rPr>
          <w:sz w:val="20"/>
        </w:rPr>
        <w:t>that</w:t>
      </w:r>
      <w:r>
        <w:rPr>
          <w:sz w:val="20"/>
        </w:rPr>
        <w:t xml:space="preserve"> </w:t>
      </w:r>
      <w:r w:rsidR="0033563C">
        <w:rPr>
          <w:sz w:val="20"/>
        </w:rPr>
        <w:t xml:space="preserve">consumes much </w:t>
      </w:r>
      <w:proofErr w:type="spellStart"/>
      <w:r w:rsidR="0033563C">
        <w:rPr>
          <w:sz w:val="20"/>
        </w:rPr>
        <w:t>much</w:t>
      </w:r>
      <w:proofErr w:type="spellEnd"/>
      <w:r w:rsidR="0033563C">
        <w:rPr>
          <w:sz w:val="20"/>
        </w:rPr>
        <w:t xml:space="preserve"> </w:t>
      </w:r>
      <w:r>
        <w:rPr>
          <w:sz w:val="20"/>
        </w:rPr>
        <w:t>RAN2 and RAN4’s time.</w:t>
      </w:r>
    </w:p>
    <w:p w14:paraId="6632C1C1" w14:textId="0D300D43" w:rsidR="00D92BD7" w:rsidRPr="00C32AF4" w:rsidRDefault="00D92BD7" w:rsidP="00F200CA">
      <w:pPr>
        <w:pStyle w:val="3"/>
        <w:spacing w:after="0"/>
      </w:pPr>
      <w:r w:rsidRPr="00C32AF4">
        <w:t>2.</w:t>
      </w:r>
      <w:r w:rsidR="00EB182B">
        <w:t>2</w:t>
      </w:r>
      <w:r w:rsidR="00966FF1">
        <w:t>.</w:t>
      </w:r>
      <w:r w:rsidRPr="00C32AF4">
        <w:t xml:space="preserve"> ‘</w:t>
      </w:r>
      <w:r w:rsidR="00341CE1">
        <w:t>B</w:t>
      </w:r>
      <w:r w:rsidRPr="00C32AF4">
        <w:t>oth</w:t>
      </w:r>
      <w:r w:rsidRPr="001E1FCC">
        <w:t xml:space="preserve">’ indicated by </w:t>
      </w:r>
      <w:proofErr w:type="spellStart"/>
      <w:r w:rsidRPr="00F200CA">
        <w:rPr>
          <w:i/>
        </w:rPr>
        <w:t>intraBandENDC</w:t>
      </w:r>
      <w:proofErr w:type="spellEnd"/>
      <w:r w:rsidRPr="00F200CA">
        <w:rPr>
          <w:i/>
        </w:rPr>
        <w:t>-Support</w:t>
      </w:r>
    </w:p>
    <w:p w14:paraId="1B7A2FF1" w14:textId="1AB18EE6" w:rsidR="006655B1" w:rsidRPr="00F200CA" w:rsidRDefault="00787078" w:rsidP="00B30A10">
      <w:pPr>
        <w:pStyle w:val="af7"/>
        <w:snapToGrid w:val="0"/>
        <w:jc w:val="both"/>
        <w:rPr>
          <w:b w:val="0"/>
          <w:bCs/>
        </w:rPr>
      </w:pPr>
      <w:r>
        <w:rPr>
          <w:b w:val="0"/>
          <w:bCs/>
        </w:rPr>
        <w:t>When</w:t>
      </w:r>
      <w:r w:rsidR="00A25B75" w:rsidRPr="00A25B75">
        <w:rPr>
          <w:b w:val="0"/>
          <w:bCs/>
        </w:rPr>
        <w:t xml:space="preserve"> </w:t>
      </w:r>
      <w:r w:rsidR="006655B1">
        <w:rPr>
          <w:b w:val="0"/>
          <w:bCs/>
        </w:rPr>
        <w:t xml:space="preserve">the </w:t>
      </w:r>
      <w:r w:rsidR="00A25B75" w:rsidRPr="00A25B75">
        <w:rPr>
          <w:b w:val="0"/>
          <w:bCs/>
        </w:rPr>
        <w:t>UE supports both contiguous and non-contiguous intra-band EN-DC for the same band entries</w:t>
      </w:r>
      <w:r w:rsidR="00CB14DC">
        <w:rPr>
          <w:b w:val="0"/>
          <w:bCs/>
        </w:rPr>
        <w:t xml:space="preserve">, </w:t>
      </w:r>
      <w:r>
        <w:rPr>
          <w:b w:val="0"/>
          <w:bCs/>
        </w:rPr>
        <w:t>it report</w:t>
      </w:r>
      <w:r w:rsidR="006655B1">
        <w:rPr>
          <w:b w:val="0"/>
          <w:bCs/>
        </w:rPr>
        <w:t>s</w:t>
      </w:r>
      <w:r>
        <w:rPr>
          <w:b w:val="0"/>
          <w:bCs/>
        </w:rPr>
        <w:t xml:space="preserve"> </w:t>
      </w:r>
      <w:r w:rsidR="006655B1">
        <w:rPr>
          <w:b w:val="0"/>
          <w:bCs/>
        </w:rPr>
        <w:t xml:space="preserve">‘both’ by </w:t>
      </w:r>
      <w:proofErr w:type="spellStart"/>
      <w:r w:rsidRPr="00FE3821">
        <w:rPr>
          <w:rFonts w:eastAsiaTheme="minorEastAsia"/>
          <w:b w:val="0"/>
          <w:i/>
          <w:iCs/>
        </w:rPr>
        <w:t>intraBandENDC</w:t>
      </w:r>
      <w:proofErr w:type="spellEnd"/>
      <w:r w:rsidRPr="00FE3821">
        <w:rPr>
          <w:rFonts w:eastAsiaTheme="minorEastAsia"/>
          <w:b w:val="0"/>
          <w:i/>
          <w:iCs/>
        </w:rPr>
        <w:t>-Support</w:t>
      </w:r>
      <w:r>
        <w:rPr>
          <w:b w:val="0"/>
          <w:bCs/>
        </w:rPr>
        <w:t xml:space="preserve"> </w:t>
      </w:r>
      <w:r w:rsidR="00CB14DC">
        <w:rPr>
          <w:b w:val="0"/>
          <w:bCs/>
        </w:rPr>
        <w:t>to save signalling overhead</w:t>
      </w:r>
      <w:r w:rsidR="00B33C37">
        <w:rPr>
          <w:b w:val="0"/>
          <w:bCs/>
        </w:rPr>
        <w:t>,</w:t>
      </w:r>
      <w:r w:rsidR="00A25B75">
        <w:rPr>
          <w:b w:val="0"/>
          <w:bCs/>
        </w:rPr>
        <w:t xml:space="preserve"> as illustrated in </w:t>
      </w:r>
      <w:r w:rsidR="00D92BD7" w:rsidRPr="00D92BD7">
        <w:rPr>
          <w:b w:val="0"/>
          <w:bCs/>
        </w:rPr>
        <w:fldChar w:fldCharType="begin"/>
      </w:r>
      <w:r w:rsidR="00D92BD7" w:rsidRPr="00F200CA">
        <w:rPr>
          <w:b w:val="0"/>
          <w:bCs/>
        </w:rPr>
        <w:instrText xml:space="preserve"> REF _Ref136510493 \h  \* MERGEFORMAT </w:instrText>
      </w:r>
      <w:r w:rsidR="00D92BD7" w:rsidRPr="00D92BD7">
        <w:rPr>
          <w:b w:val="0"/>
          <w:bCs/>
        </w:rPr>
      </w:r>
      <w:r w:rsidR="00D92BD7" w:rsidRPr="00D92BD7">
        <w:rPr>
          <w:b w:val="0"/>
          <w:bCs/>
        </w:rPr>
        <w:fldChar w:fldCharType="separate"/>
      </w:r>
      <w:r w:rsidR="002514E5" w:rsidRPr="001A6BB5">
        <w:rPr>
          <w:b w:val="0"/>
        </w:rPr>
        <w:t xml:space="preserve">Table </w:t>
      </w:r>
      <w:r w:rsidR="002514E5" w:rsidRPr="001A6BB5">
        <w:rPr>
          <w:b w:val="0"/>
          <w:noProof/>
        </w:rPr>
        <w:t>1</w:t>
      </w:r>
      <w:r w:rsidR="00D92BD7" w:rsidRPr="00D92BD7">
        <w:rPr>
          <w:b w:val="0"/>
          <w:bCs/>
        </w:rPr>
        <w:fldChar w:fldCharType="end"/>
      </w:r>
      <w:r w:rsidR="00A25B75">
        <w:rPr>
          <w:b w:val="0"/>
          <w:bCs/>
        </w:rPr>
        <w:t xml:space="preserve"> with scenario #4</w:t>
      </w:r>
      <w:r w:rsidR="00633B32">
        <w:rPr>
          <w:b w:val="0"/>
          <w:bCs/>
        </w:rPr>
        <w:t xml:space="preserve">. </w:t>
      </w:r>
      <w:r w:rsidR="006655B1">
        <w:rPr>
          <w:b w:val="0"/>
          <w:bCs/>
        </w:rPr>
        <w:t>RAN2 is not expecting other interpretations for ‘both’ apart from its own meaning, such as,</w:t>
      </w:r>
      <w:r>
        <w:rPr>
          <w:b w:val="0"/>
          <w:bCs/>
        </w:rPr>
        <w:t xml:space="preserve"> </w:t>
      </w:r>
      <w:r w:rsidRPr="00787078">
        <w:rPr>
          <w:b w:val="0"/>
          <w:bCs/>
        </w:rPr>
        <w:t xml:space="preserve">different capability between DL and </w:t>
      </w:r>
      <w:r w:rsidRPr="00F200CA">
        <w:rPr>
          <w:b w:val="0"/>
          <w:bCs/>
        </w:rPr>
        <w:t>UL</w:t>
      </w:r>
      <w:r w:rsidR="00A25B75" w:rsidRPr="00F200CA">
        <w:rPr>
          <w:b w:val="0"/>
          <w:bCs/>
        </w:rPr>
        <w:t>.</w:t>
      </w:r>
      <w:r w:rsidR="006655B1" w:rsidRPr="00F200CA">
        <w:rPr>
          <w:b w:val="0"/>
          <w:bCs/>
        </w:rPr>
        <w:t xml:space="preserve"> </w:t>
      </w:r>
    </w:p>
    <w:p w14:paraId="416A824F" w14:textId="67A4C6C0" w:rsidR="00966FF1" w:rsidRPr="003C137D" w:rsidRDefault="006655B1" w:rsidP="002E5569">
      <w:pPr>
        <w:snapToGrid w:val="0"/>
        <w:rPr>
          <w:rFonts w:eastAsiaTheme="minorEastAsia"/>
        </w:rPr>
      </w:pPr>
      <w:r w:rsidRPr="00F200CA">
        <w:rPr>
          <w:bCs/>
        </w:rPr>
        <w:t xml:space="preserve">Furthermore, </w:t>
      </w:r>
      <w:r w:rsidRPr="00F200CA">
        <w:t>i</w:t>
      </w:r>
      <w:r w:rsidR="001E1FCC" w:rsidRPr="00F200CA">
        <w:t>f</w:t>
      </w:r>
      <w:r w:rsidR="001E1FCC" w:rsidRPr="00F200CA">
        <w:rPr>
          <w:rFonts w:eastAsiaTheme="minorEastAsia"/>
          <w:iCs/>
        </w:rPr>
        <w:t xml:space="preserve"> </w:t>
      </w:r>
      <w:r w:rsidR="00A16B4B">
        <w:t>‘</w:t>
      </w:r>
      <w:r w:rsidR="001E1FCC" w:rsidRPr="00F200CA">
        <w:t>both</w:t>
      </w:r>
      <w:r w:rsidR="00A16B4B">
        <w:t>’</w:t>
      </w:r>
      <w:r w:rsidR="001E1FCC" w:rsidRPr="00F200CA">
        <w:t xml:space="preserve"> is interpreted for the mixed </w:t>
      </w:r>
      <w:r w:rsidR="00787078" w:rsidRPr="00F200CA">
        <w:t xml:space="preserve">contiguity </w:t>
      </w:r>
      <w:r w:rsidR="001E1FCC" w:rsidRPr="00F200CA">
        <w:t xml:space="preserve">capability for DL and UL, there </w:t>
      </w:r>
      <w:r w:rsidR="00A16B4B">
        <w:t>would</w:t>
      </w:r>
      <w:r w:rsidR="001E1FCC" w:rsidRPr="00F200CA">
        <w:t xml:space="preserve"> be multiple cases implied by such indication, which brings confusion for the network which case the UE really supports. In RAN2’s understanding, this is not backward compatible, and not a future-proof signaling design. </w:t>
      </w:r>
      <w:r w:rsidR="001E1FCC" w:rsidRPr="00F200CA">
        <w:rPr>
          <w:rFonts w:eastAsiaTheme="minorEastAsia"/>
          <w:iCs/>
        </w:rPr>
        <w:t>Thus, the new signaling for UL capability was agreed to be introduced in RAN2.</w:t>
      </w:r>
      <w:r w:rsidR="00355F30">
        <w:rPr>
          <w:rFonts w:eastAsiaTheme="minorEastAsia"/>
          <w:iCs/>
        </w:rPr>
        <w:t xml:space="preserve"> </w:t>
      </w:r>
    </w:p>
    <w:p w14:paraId="6D90ED9B" w14:textId="0860686D" w:rsidR="00966FF1" w:rsidRPr="00443246" w:rsidRDefault="00966FF1" w:rsidP="00B30A10">
      <w:pPr>
        <w:pStyle w:val="af7"/>
        <w:snapToGrid w:val="0"/>
        <w:jc w:val="both"/>
        <w:rPr>
          <w:i/>
        </w:rPr>
      </w:pPr>
      <w:bookmarkStart w:id="2" w:name="_Ref136533273"/>
      <w:bookmarkStart w:id="3" w:name="_Ref136533291"/>
      <w:r w:rsidRPr="00F200CA">
        <w:rPr>
          <w:i/>
        </w:rPr>
        <w:t xml:space="preserve">Observation </w:t>
      </w:r>
      <w:r w:rsidRPr="00F200CA">
        <w:rPr>
          <w:i/>
        </w:rPr>
        <w:fldChar w:fldCharType="begin"/>
      </w:r>
      <w:r w:rsidRPr="00F200CA">
        <w:rPr>
          <w:i/>
        </w:rPr>
        <w:instrText xml:space="preserve"> SEQ Observation \* ARABIC </w:instrText>
      </w:r>
      <w:r w:rsidRPr="00F200CA">
        <w:rPr>
          <w:i/>
        </w:rPr>
        <w:fldChar w:fldCharType="separate"/>
      </w:r>
      <w:r w:rsidR="002514E5">
        <w:rPr>
          <w:i/>
          <w:noProof/>
        </w:rPr>
        <w:t>1</w:t>
      </w:r>
      <w:r w:rsidRPr="00F200CA">
        <w:rPr>
          <w:i/>
        </w:rPr>
        <w:fldChar w:fldCharType="end"/>
      </w:r>
      <w:bookmarkEnd w:id="2"/>
      <w:r w:rsidRPr="00F200CA">
        <w:rPr>
          <w:i/>
        </w:rPr>
        <w:t xml:space="preserve">: </w:t>
      </w:r>
      <w:r>
        <w:rPr>
          <w:i/>
        </w:rPr>
        <w:t xml:space="preserve">UE reports ‘both’ by </w:t>
      </w:r>
      <w:proofErr w:type="spellStart"/>
      <w:r>
        <w:rPr>
          <w:i/>
        </w:rPr>
        <w:t>intraBandENDC</w:t>
      </w:r>
      <w:proofErr w:type="spellEnd"/>
      <w:r>
        <w:rPr>
          <w:i/>
        </w:rPr>
        <w:t xml:space="preserve">-Support to indicate the support for </w:t>
      </w:r>
      <w:r w:rsidRPr="00966FF1">
        <w:rPr>
          <w:i/>
        </w:rPr>
        <w:t>both contiguous and non-contiguous intra-band EN-DC for the same band entries</w:t>
      </w:r>
      <w:r>
        <w:rPr>
          <w:i/>
        </w:rPr>
        <w:t>. E</w:t>
      </w:r>
      <w:r w:rsidRPr="00443246">
        <w:rPr>
          <w:i/>
        </w:rPr>
        <w:t>xten</w:t>
      </w:r>
      <w:r>
        <w:rPr>
          <w:i/>
        </w:rPr>
        <w:t>sion of</w:t>
      </w:r>
      <w:r w:rsidRPr="00443246">
        <w:rPr>
          <w:i/>
        </w:rPr>
        <w:t xml:space="preserve"> the meaning </w:t>
      </w:r>
      <w:r>
        <w:rPr>
          <w:i/>
        </w:rPr>
        <w:t>on</w:t>
      </w:r>
      <w:r w:rsidRPr="00443246">
        <w:rPr>
          <w:i/>
        </w:rPr>
        <w:t xml:space="preserve"> </w:t>
      </w:r>
      <w:r>
        <w:rPr>
          <w:i/>
        </w:rPr>
        <w:t>‘</w:t>
      </w:r>
      <w:r w:rsidRPr="00443246">
        <w:rPr>
          <w:i/>
        </w:rPr>
        <w:t>both</w:t>
      </w:r>
      <w:r>
        <w:rPr>
          <w:i/>
        </w:rPr>
        <w:t xml:space="preserve">’ is not </w:t>
      </w:r>
      <w:r w:rsidRPr="00966FF1">
        <w:rPr>
          <w:i/>
        </w:rPr>
        <w:t>backward compatible</w:t>
      </w:r>
      <w:r>
        <w:rPr>
          <w:i/>
        </w:rPr>
        <w:t xml:space="preserve"> or </w:t>
      </w:r>
      <w:r w:rsidRPr="00966FF1">
        <w:rPr>
          <w:i/>
        </w:rPr>
        <w:t>future-proof</w:t>
      </w:r>
      <w:r>
        <w:rPr>
          <w:i/>
        </w:rPr>
        <w:t xml:space="preserve"> in RAN2.</w:t>
      </w:r>
      <w:bookmarkEnd w:id="3"/>
    </w:p>
    <w:p w14:paraId="2F7712AF" w14:textId="70CDF430" w:rsidR="00CF59FF" w:rsidRPr="00341CE1" w:rsidRDefault="00A25B75" w:rsidP="00B30A10">
      <w:pPr>
        <w:snapToGrid w:val="0"/>
        <w:spacing w:before="120" w:after="60"/>
        <w:rPr>
          <w:sz w:val="20"/>
          <w:szCs w:val="20"/>
          <w:lang w:val="en-GB" w:eastAsia="en-US"/>
        </w:rPr>
      </w:pPr>
      <w:r w:rsidRPr="006456B7">
        <w:rPr>
          <w:sz w:val="20"/>
          <w:szCs w:val="20"/>
          <w:lang w:val="en-GB" w:eastAsia="en-US"/>
        </w:rPr>
        <w:t xml:space="preserve">In this case, taking 48C+n48A as an example, the </w:t>
      </w:r>
      <w:r w:rsidR="006655B1" w:rsidRPr="006456B7">
        <w:rPr>
          <w:sz w:val="20"/>
          <w:szCs w:val="20"/>
          <w:lang w:val="en-GB" w:eastAsia="en-US"/>
        </w:rPr>
        <w:t xml:space="preserve">when </w:t>
      </w:r>
      <w:r w:rsidRPr="006456B7">
        <w:rPr>
          <w:sz w:val="20"/>
          <w:szCs w:val="20"/>
          <w:lang w:val="en-GB" w:eastAsia="en-US"/>
        </w:rPr>
        <w:t xml:space="preserve">reporting ‘both’ with </w:t>
      </w:r>
      <w:proofErr w:type="spellStart"/>
      <w:r w:rsidRPr="006456B7">
        <w:rPr>
          <w:i/>
          <w:sz w:val="20"/>
          <w:szCs w:val="20"/>
          <w:lang w:val="en-GB" w:eastAsia="en-US"/>
        </w:rPr>
        <w:t>intraBandENDC</w:t>
      </w:r>
      <w:proofErr w:type="spellEnd"/>
      <w:r w:rsidRPr="006456B7">
        <w:rPr>
          <w:sz w:val="20"/>
          <w:szCs w:val="20"/>
          <w:lang w:val="en-GB" w:eastAsia="en-US"/>
        </w:rPr>
        <w:t>-</w:t>
      </w:r>
      <w:r w:rsidRPr="006456B7">
        <w:rPr>
          <w:i/>
          <w:sz w:val="20"/>
          <w:szCs w:val="20"/>
          <w:lang w:val="en-GB" w:eastAsia="en-US"/>
        </w:rPr>
        <w:t>Support</w:t>
      </w:r>
      <w:r w:rsidRPr="006456B7">
        <w:rPr>
          <w:sz w:val="20"/>
          <w:szCs w:val="20"/>
          <w:lang w:val="en-GB" w:eastAsia="en-US"/>
        </w:rPr>
        <w:t>, the UE support</w:t>
      </w:r>
      <w:r w:rsidR="00341CE1" w:rsidRPr="006456B7">
        <w:rPr>
          <w:sz w:val="20"/>
          <w:szCs w:val="20"/>
          <w:lang w:val="en-GB" w:eastAsia="en-US"/>
        </w:rPr>
        <w:t>s</w:t>
      </w:r>
      <w:r w:rsidRPr="006456B7">
        <w:rPr>
          <w:sz w:val="20"/>
          <w:szCs w:val="20"/>
          <w:lang w:val="en-GB" w:eastAsia="en-US"/>
        </w:rPr>
        <w:t xml:space="preserve"> two</w:t>
      </w:r>
      <w:r w:rsidR="003A4F03" w:rsidRPr="006456B7">
        <w:rPr>
          <w:sz w:val="20"/>
          <w:szCs w:val="20"/>
          <w:lang w:val="en-GB" w:eastAsia="en-US"/>
        </w:rPr>
        <w:t xml:space="preserve"> pairs UL/DL configurations</w:t>
      </w:r>
      <w:r w:rsidR="00341CE1" w:rsidRPr="006456B7">
        <w:rPr>
          <w:sz w:val="20"/>
          <w:szCs w:val="20"/>
          <w:lang w:val="en-GB" w:eastAsia="en-US"/>
        </w:rPr>
        <w:t xml:space="preserve"> as shown in </w:t>
      </w:r>
      <w:r w:rsidR="00341CE1" w:rsidRPr="006456B7">
        <w:rPr>
          <w:sz w:val="20"/>
          <w:szCs w:val="20"/>
          <w:lang w:val="en-GB" w:eastAsia="en-US"/>
        </w:rPr>
        <w:fldChar w:fldCharType="begin"/>
      </w:r>
      <w:r w:rsidR="00341CE1" w:rsidRPr="006456B7">
        <w:rPr>
          <w:sz w:val="20"/>
          <w:szCs w:val="20"/>
          <w:lang w:val="en-GB" w:eastAsia="en-US"/>
        </w:rPr>
        <w:instrText xml:space="preserve"> REF _Ref136533763 \h </w:instrText>
      </w:r>
      <w:r w:rsidR="006456B7">
        <w:rPr>
          <w:sz w:val="20"/>
          <w:szCs w:val="20"/>
          <w:lang w:val="en-GB" w:eastAsia="en-US"/>
        </w:rPr>
        <w:instrText xml:space="preserve"> \* MERGEFORMAT </w:instrText>
      </w:r>
      <w:r w:rsidR="00341CE1" w:rsidRPr="006456B7">
        <w:rPr>
          <w:sz w:val="20"/>
          <w:szCs w:val="20"/>
          <w:lang w:val="en-GB" w:eastAsia="en-US"/>
        </w:rPr>
      </w:r>
      <w:r w:rsidR="00341CE1" w:rsidRPr="006456B7">
        <w:rPr>
          <w:sz w:val="20"/>
          <w:szCs w:val="20"/>
          <w:lang w:val="en-GB" w:eastAsia="en-US"/>
        </w:rPr>
        <w:fldChar w:fldCharType="separate"/>
      </w:r>
      <w:r w:rsidR="002514E5" w:rsidRPr="001A6BB5">
        <w:rPr>
          <w:sz w:val="20"/>
          <w:szCs w:val="20"/>
        </w:rPr>
        <w:t xml:space="preserve">Figure </w:t>
      </w:r>
      <w:r w:rsidR="002514E5" w:rsidRPr="001A6BB5">
        <w:rPr>
          <w:noProof/>
          <w:sz w:val="20"/>
          <w:szCs w:val="20"/>
        </w:rPr>
        <w:t>1</w:t>
      </w:r>
      <w:r w:rsidR="00341CE1" w:rsidRPr="006456B7">
        <w:rPr>
          <w:sz w:val="20"/>
          <w:szCs w:val="20"/>
          <w:lang w:val="en-GB" w:eastAsia="en-US"/>
        </w:rPr>
        <w:fldChar w:fldCharType="end"/>
      </w:r>
      <w:r w:rsidR="00341CE1" w:rsidRPr="006456B7">
        <w:rPr>
          <w:sz w:val="20"/>
          <w:szCs w:val="20"/>
          <w:lang w:val="en-GB" w:eastAsia="en-US"/>
        </w:rPr>
        <w:t>:</w:t>
      </w:r>
    </w:p>
    <w:p w14:paraId="2EB2C68D" w14:textId="3AAF20F7" w:rsidR="00CF59FF" w:rsidRPr="00341CE1" w:rsidRDefault="00CF59FF" w:rsidP="00B30A10">
      <w:pPr>
        <w:widowControl/>
        <w:numPr>
          <w:ilvl w:val="0"/>
          <w:numId w:val="28"/>
        </w:numPr>
        <w:snapToGrid w:val="0"/>
        <w:spacing w:after="0"/>
        <w:ind w:left="153" w:hanging="153"/>
        <w:rPr>
          <w:rFonts w:eastAsia="Yu Mincho"/>
          <w:kern w:val="0"/>
          <w:sz w:val="20"/>
          <w:szCs w:val="20"/>
          <w:lang w:val="en-GB" w:eastAsia="x-none"/>
        </w:rPr>
      </w:pPr>
      <w:r w:rsidRPr="00341CE1">
        <w:rPr>
          <w:rFonts w:eastAsia="Batang"/>
          <w:kern w:val="0"/>
          <w:sz w:val="20"/>
          <w:szCs w:val="20"/>
          <w:lang w:val="en-GB" w:eastAsia="x-none"/>
        </w:rPr>
        <w:t xml:space="preserve">Config #1: </w:t>
      </w:r>
      <w:r w:rsidRPr="00341CE1">
        <w:rPr>
          <w:rFonts w:eastAsia="Yu Mincho"/>
          <w:kern w:val="0"/>
          <w:sz w:val="20"/>
          <w:szCs w:val="20"/>
          <w:lang w:val="en-GB" w:eastAsia="x-none"/>
        </w:rPr>
        <w:t xml:space="preserve">Contiguous/contiguous   </w:t>
      </w:r>
      <w:r w:rsidR="00B33C37" w:rsidRPr="00341CE1">
        <w:rPr>
          <w:rFonts w:eastAsia="Yu Mincho"/>
          <w:kern w:val="0"/>
          <w:sz w:val="20"/>
          <w:szCs w:val="20"/>
          <w:lang w:val="en-GB" w:eastAsia="x-none"/>
        </w:rPr>
        <w:t xml:space="preserve">        </w:t>
      </w:r>
      <w:r w:rsidRPr="00341CE1">
        <w:rPr>
          <w:sz w:val="20"/>
          <w:szCs w:val="20"/>
          <w:lang w:val="en-GB" w:eastAsia="en-US"/>
        </w:rPr>
        <w:t>DL DC_(n)48CA, UL DC_(n)48AA</w:t>
      </w:r>
    </w:p>
    <w:p w14:paraId="236C179F" w14:textId="6B907447" w:rsidR="00CF59FF" w:rsidRPr="00443246" w:rsidRDefault="00CF59FF" w:rsidP="00B30A10">
      <w:pPr>
        <w:widowControl/>
        <w:numPr>
          <w:ilvl w:val="0"/>
          <w:numId w:val="28"/>
        </w:numPr>
        <w:snapToGrid w:val="0"/>
        <w:ind w:left="153" w:hanging="153"/>
        <w:rPr>
          <w:rFonts w:eastAsia="Yu Mincho"/>
          <w:kern w:val="0"/>
          <w:sz w:val="20"/>
          <w:szCs w:val="20"/>
          <w:lang w:val="en-GB" w:eastAsia="x-none"/>
        </w:rPr>
      </w:pPr>
      <w:r w:rsidRPr="00341CE1">
        <w:rPr>
          <w:rFonts w:eastAsia="Yu Mincho"/>
          <w:kern w:val="0"/>
          <w:sz w:val="20"/>
          <w:szCs w:val="20"/>
          <w:lang w:val="en-GB" w:eastAsia="en-US"/>
        </w:rPr>
        <w:t xml:space="preserve">Config #2: Non-contiguous/Non-contiguous   </w:t>
      </w:r>
      <w:r w:rsidRPr="00341CE1">
        <w:rPr>
          <w:sz w:val="20"/>
          <w:szCs w:val="20"/>
          <w:lang w:val="en-GB" w:eastAsia="en-US"/>
        </w:rPr>
        <w:t>DL DC_48C_n48A, UL DC_48A_n48A</w:t>
      </w:r>
    </w:p>
    <w:p w14:paraId="2A40BFD4" w14:textId="77777777" w:rsidR="009A6992" w:rsidRDefault="009A6992" w:rsidP="00B30A10">
      <w:pPr>
        <w:pStyle w:val="a9"/>
        <w:ind w:firstLineChars="0" w:firstLine="0"/>
        <w:jc w:val="center"/>
      </w:pPr>
      <w:r>
        <w:rPr>
          <w:noProof/>
        </w:rPr>
        <w:drawing>
          <wp:inline distT="0" distB="0" distL="0" distR="0" wp14:anchorId="1345748E" wp14:editId="62A1B024">
            <wp:extent cx="5779827" cy="123836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97088" cy="1242061"/>
                    </a:xfrm>
                    <a:prstGeom prst="rect">
                      <a:avLst/>
                    </a:prstGeom>
                  </pic:spPr>
                </pic:pic>
              </a:graphicData>
            </a:graphic>
          </wp:inline>
        </w:drawing>
      </w:r>
    </w:p>
    <w:p w14:paraId="110BF868" w14:textId="602A9F51" w:rsidR="009A6992" w:rsidRPr="00B30A10" w:rsidRDefault="009A6992" w:rsidP="00B30A10">
      <w:pPr>
        <w:pStyle w:val="af7"/>
        <w:snapToGrid w:val="0"/>
        <w:spacing w:after="0"/>
        <w:jc w:val="center"/>
        <w:rPr>
          <w:rFonts w:ascii="Arial" w:hAnsi="Arial" w:cs="Arial"/>
          <w:sz w:val="18"/>
        </w:rPr>
      </w:pPr>
      <w:bookmarkStart w:id="4" w:name="_Ref136533763"/>
      <w:r w:rsidRPr="00B30A10">
        <w:rPr>
          <w:rFonts w:ascii="Arial" w:hAnsi="Arial" w:cs="Arial"/>
          <w:sz w:val="18"/>
        </w:rPr>
        <w:t xml:space="preserve">Figure </w:t>
      </w:r>
      <w:r w:rsidRPr="00B30A10">
        <w:rPr>
          <w:rFonts w:ascii="Arial" w:hAnsi="Arial" w:cs="Arial"/>
          <w:sz w:val="18"/>
        </w:rPr>
        <w:fldChar w:fldCharType="begin"/>
      </w:r>
      <w:r w:rsidRPr="00B30A10">
        <w:rPr>
          <w:rFonts w:ascii="Arial" w:hAnsi="Arial" w:cs="Arial"/>
          <w:sz w:val="18"/>
        </w:rPr>
        <w:instrText xml:space="preserve"> SEQ Figure \* ARABIC </w:instrText>
      </w:r>
      <w:r w:rsidRPr="00B30A10">
        <w:rPr>
          <w:rFonts w:ascii="Arial" w:hAnsi="Arial" w:cs="Arial"/>
          <w:sz w:val="18"/>
        </w:rPr>
        <w:fldChar w:fldCharType="separate"/>
      </w:r>
      <w:r w:rsidR="002514E5">
        <w:rPr>
          <w:rFonts w:ascii="Arial" w:hAnsi="Arial" w:cs="Arial"/>
          <w:noProof/>
          <w:sz w:val="18"/>
        </w:rPr>
        <w:t>1</w:t>
      </w:r>
      <w:r w:rsidRPr="00B30A10">
        <w:rPr>
          <w:rFonts w:ascii="Arial" w:hAnsi="Arial" w:cs="Arial"/>
          <w:sz w:val="18"/>
        </w:rPr>
        <w:fldChar w:fldCharType="end"/>
      </w:r>
      <w:bookmarkEnd w:id="4"/>
      <w:r w:rsidRPr="00B30A10">
        <w:rPr>
          <w:rFonts w:ascii="Arial" w:hAnsi="Arial" w:cs="Arial"/>
          <w:sz w:val="18"/>
        </w:rPr>
        <w:t xml:space="preserve"> UE supports both </w:t>
      </w:r>
      <w:r w:rsidR="002E5569">
        <w:rPr>
          <w:rFonts w:ascii="Arial" w:hAnsi="Arial" w:cs="Arial"/>
          <w:sz w:val="18"/>
        </w:rPr>
        <w:t>C and NC</w:t>
      </w:r>
      <w:r w:rsidRPr="00B30A10">
        <w:rPr>
          <w:rFonts w:ascii="Arial" w:hAnsi="Arial" w:cs="Arial"/>
          <w:sz w:val="18"/>
        </w:rPr>
        <w:t xml:space="preserve"> intra-band EN-DC for the same band entries with ‘both’</w:t>
      </w:r>
    </w:p>
    <w:p w14:paraId="67BF56A3" w14:textId="77777777" w:rsidR="005F70BF" w:rsidRDefault="00C32AF4" w:rsidP="004A58DD">
      <w:pPr>
        <w:pStyle w:val="af7"/>
        <w:snapToGrid w:val="0"/>
        <w:spacing w:after="0"/>
        <w:rPr>
          <w:b w:val="0"/>
        </w:rPr>
      </w:pPr>
      <w:bookmarkStart w:id="5" w:name="_Ref134626667"/>
      <w:r>
        <w:rPr>
          <w:b w:val="0"/>
        </w:rPr>
        <w:t xml:space="preserve">And the network would not configure DL in Config#1 and UL in Config#2 as a pair to the UE. </w:t>
      </w:r>
    </w:p>
    <w:p w14:paraId="5F85F34E" w14:textId="5E2ED757" w:rsidR="00D92BD7" w:rsidRDefault="00C32AF4" w:rsidP="00443246">
      <w:pPr>
        <w:pStyle w:val="af7"/>
        <w:snapToGrid w:val="0"/>
        <w:rPr>
          <w:b w:val="0"/>
        </w:rPr>
      </w:pPr>
      <w:r>
        <w:rPr>
          <w:b w:val="0"/>
        </w:rPr>
        <w:t>Thus,</w:t>
      </w:r>
      <w:r w:rsidR="00966FF1">
        <w:rPr>
          <w:b w:val="0"/>
        </w:rPr>
        <w:t xml:space="preserve"> Option 2c, as </w:t>
      </w:r>
      <w:r w:rsidR="00966FF1" w:rsidRPr="00966FF1">
        <w:rPr>
          <w:b w:val="0"/>
        </w:rPr>
        <w:t xml:space="preserve">existing IE </w:t>
      </w:r>
      <w:r>
        <w:rPr>
          <w:b w:val="0"/>
        </w:rPr>
        <w:t>for Case 3 in [</w:t>
      </w:r>
      <w:r w:rsidR="00443246">
        <w:rPr>
          <w:b w:val="0"/>
        </w:rPr>
        <w:t>11</w:t>
      </w:r>
      <w:r>
        <w:rPr>
          <w:b w:val="0"/>
        </w:rPr>
        <w:t>] does not work.</w:t>
      </w:r>
    </w:p>
    <w:tbl>
      <w:tblPr>
        <w:tblStyle w:val="ae"/>
        <w:tblW w:w="0" w:type="auto"/>
        <w:tblLook w:val="04A0" w:firstRow="1" w:lastRow="0" w:firstColumn="1" w:lastColumn="0" w:noHBand="0" w:noVBand="1"/>
      </w:tblPr>
      <w:tblGrid>
        <w:gridCol w:w="9628"/>
      </w:tblGrid>
      <w:tr w:rsidR="00C32AF4" w14:paraId="42707ACA" w14:textId="77777777" w:rsidTr="00C32AF4">
        <w:tc>
          <w:tcPr>
            <w:tcW w:w="9628" w:type="dxa"/>
          </w:tcPr>
          <w:p w14:paraId="26C0830E" w14:textId="57501038" w:rsidR="00C32AF4" w:rsidRPr="00443246" w:rsidRDefault="00C32AF4" w:rsidP="00B30A10">
            <w:pPr>
              <w:pStyle w:val="a9"/>
              <w:widowControl/>
              <w:numPr>
                <w:ilvl w:val="0"/>
                <w:numId w:val="8"/>
              </w:numPr>
              <w:snapToGrid w:val="0"/>
              <w:spacing w:before="0" w:after="0" w:line="240" w:lineRule="auto"/>
              <w:ind w:left="357" w:firstLineChars="0" w:hanging="357"/>
              <w:rPr>
                <w:szCs w:val="24"/>
                <w:lang w:eastAsia="zh-CN"/>
              </w:rPr>
            </w:pPr>
            <w:r w:rsidRPr="001744F6">
              <w:rPr>
                <w:b/>
                <w:szCs w:val="24"/>
              </w:rPr>
              <w:t>Option 2c:</w:t>
            </w:r>
            <w:r w:rsidR="002E5569">
              <w:rPr>
                <w:b/>
                <w:szCs w:val="24"/>
              </w:rPr>
              <w:t xml:space="preserve"> </w:t>
            </w:r>
            <w:r>
              <w:rPr>
                <w:szCs w:val="24"/>
              </w:rPr>
              <w:t>From Rel-16</w:t>
            </w:r>
            <w:r w:rsidRPr="001744F6">
              <w:rPr>
                <w:szCs w:val="24"/>
              </w:rPr>
              <w:t>, UE shall also support non-contiguous operation in the DL (DC_48C_n48A</w:t>
            </w:r>
            <w:r>
              <w:rPr>
                <w:szCs w:val="24"/>
              </w:rPr>
              <w:t xml:space="preserve"> or DC_48D_48A</w:t>
            </w:r>
            <w:r w:rsidRPr="001744F6">
              <w:rPr>
                <w:szCs w:val="24"/>
              </w:rPr>
              <w:t xml:space="preserve">), then the network can configure DL_(n)48CA </w:t>
            </w:r>
            <w:r>
              <w:rPr>
                <w:szCs w:val="24"/>
              </w:rPr>
              <w:t xml:space="preserve">or DC_(n)48DA </w:t>
            </w:r>
            <w:r w:rsidRPr="001744F6">
              <w:rPr>
                <w:szCs w:val="24"/>
              </w:rPr>
              <w:t>with the middle LTE cell DL-only and the UL with a gap (non-contiguous)</w:t>
            </w:r>
          </w:p>
        </w:tc>
      </w:tr>
    </w:tbl>
    <w:p w14:paraId="3AD60E84" w14:textId="6EA3A52C" w:rsidR="004A58DD" w:rsidRDefault="00A16B4B" w:rsidP="00B30A10">
      <w:pPr>
        <w:pStyle w:val="af7"/>
        <w:snapToGrid w:val="0"/>
        <w:spacing w:after="0"/>
        <w:jc w:val="both"/>
        <w:rPr>
          <w:i/>
        </w:rPr>
      </w:pPr>
      <w:bookmarkStart w:id="6" w:name="_Ref136532813"/>
      <w:bookmarkStart w:id="7" w:name="_Ref136528209"/>
      <w:r w:rsidRPr="00443246">
        <w:rPr>
          <w:i/>
        </w:rPr>
        <w:t xml:space="preserve">Observation </w:t>
      </w:r>
      <w:r w:rsidRPr="00443246">
        <w:rPr>
          <w:i/>
        </w:rPr>
        <w:fldChar w:fldCharType="begin"/>
      </w:r>
      <w:r w:rsidRPr="00443246">
        <w:rPr>
          <w:i/>
        </w:rPr>
        <w:instrText xml:space="preserve"> SEQ Observation \* ARABIC </w:instrText>
      </w:r>
      <w:r w:rsidRPr="00443246">
        <w:rPr>
          <w:i/>
        </w:rPr>
        <w:fldChar w:fldCharType="separate"/>
      </w:r>
      <w:r w:rsidR="002514E5">
        <w:rPr>
          <w:i/>
          <w:noProof/>
        </w:rPr>
        <w:t>2</w:t>
      </w:r>
      <w:r w:rsidRPr="00443246">
        <w:rPr>
          <w:i/>
        </w:rPr>
        <w:fldChar w:fldCharType="end"/>
      </w:r>
      <w:bookmarkEnd w:id="6"/>
      <w:r w:rsidRPr="00443246">
        <w:rPr>
          <w:i/>
        </w:rPr>
        <w:t>:</w:t>
      </w:r>
      <w:r w:rsidR="008C6C67" w:rsidRPr="008C6C67">
        <w:rPr>
          <w:i/>
        </w:rPr>
        <w:t xml:space="preserve"> In RAN2’s understanding, if the UE report</w:t>
      </w:r>
      <w:r w:rsidR="004A58DD">
        <w:rPr>
          <w:i/>
        </w:rPr>
        <w:t>s</w:t>
      </w:r>
      <w:r w:rsidR="008C6C67" w:rsidRPr="008C6C67">
        <w:rPr>
          <w:i/>
        </w:rPr>
        <w:t xml:space="preserve"> ‘both’ with </w:t>
      </w:r>
      <w:proofErr w:type="spellStart"/>
      <w:r w:rsidR="008C6C67" w:rsidRPr="008C6C67">
        <w:rPr>
          <w:i/>
        </w:rPr>
        <w:t>intraBandENDC</w:t>
      </w:r>
      <w:proofErr w:type="spellEnd"/>
      <w:r w:rsidR="008C6C67" w:rsidRPr="008C6C67">
        <w:rPr>
          <w:i/>
        </w:rPr>
        <w:t>-Support</w:t>
      </w:r>
      <w:r w:rsidR="008C6C67">
        <w:rPr>
          <w:i/>
        </w:rPr>
        <w:t xml:space="preserve"> for </w:t>
      </w:r>
      <w:r w:rsidR="008C6C67" w:rsidRPr="008C6C67">
        <w:rPr>
          <w:i/>
        </w:rPr>
        <w:t>48C+n48A, it supports</w:t>
      </w:r>
      <w:bookmarkEnd w:id="7"/>
      <w:r w:rsidR="008C6C67" w:rsidRPr="008C6C67">
        <w:rPr>
          <w:i/>
        </w:rPr>
        <w:t xml:space="preserve"> </w:t>
      </w:r>
    </w:p>
    <w:p w14:paraId="1E4ABDEC" w14:textId="17048717" w:rsidR="004A58DD" w:rsidRDefault="008C6C67" w:rsidP="00B30A10">
      <w:pPr>
        <w:pStyle w:val="af7"/>
        <w:numPr>
          <w:ilvl w:val="0"/>
          <w:numId w:val="30"/>
        </w:numPr>
        <w:snapToGrid w:val="0"/>
        <w:spacing w:before="0" w:after="0"/>
        <w:jc w:val="both"/>
        <w:rPr>
          <w:i/>
        </w:rPr>
      </w:pPr>
      <w:r w:rsidRPr="008C6C67">
        <w:rPr>
          <w:i/>
        </w:rPr>
        <w:t>Config#1</w:t>
      </w:r>
      <w:r>
        <w:rPr>
          <w:i/>
        </w:rPr>
        <w:t xml:space="preserve">: </w:t>
      </w:r>
      <w:r w:rsidRPr="008C6C67">
        <w:rPr>
          <w:i/>
        </w:rPr>
        <w:t>DL DC_(n)48CA, UL DC_(n)48AA</w:t>
      </w:r>
      <w:r w:rsidR="004A58DD">
        <w:rPr>
          <w:i/>
        </w:rPr>
        <w:t>,</w:t>
      </w:r>
      <w:r>
        <w:rPr>
          <w:i/>
        </w:rPr>
        <w:t xml:space="preserve"> and </w:t>
      </w:r>
    </w:p>
    <w:p w14:paraId="5E21DC47" w14:textId="23BF4BCF" w:rsidR="00A25B75" w:rsidRDefault="008C6C67" w:rsidP="00B30A10">
      <w:pPr>
        <w:pStyle w:val="af7"/>
        <w:numPr>
          <w:ilvl w:val="0"/>
          <w:numId w:val="30"/>
        </w:numPr>
        <w:snapToGrid w:val="0"/>
        <w:spacing w:before="0" w:after="0"/>
        <w:jc w:val="both"/>
        <w:rPr>
          <w:i/>
        </w:rPr>
      </w:pPr>
      <w:r w:rsidRPr="004A58DD">
        <w:rPr>
          <w:i/>
        </w:rPr>
        <w:t>Config#2: DL DC_48C_n48A, UL DC_48A_n48A.</w:t>
      </w:r>
      <w:bookmarkEnd w:id="5"/>
    </w:p>
    <w:p w14:paraId="5131B6D6" w14:textId="45EF60D5" w:rsidR="00966FF1" w:rsidRDefault="005F70BF" w:rsidP="00B30A10">
      <w:pPr>
        <w:rPr>
          <w:lang w:val="en-GB"/>
        </w:rPr>
      </w:pPr>
      <w:r w:rsidRPr="00443246">
        <w:rPr>
          <w:b/>
          <w:i/>
          <w:sz w:val="20"/>
        </w:rPr>
        <w:lastRenderedPageBreak/>
        <w:t>And the network would not configure DL in Config#1 and UL in Config#2 as a pair to the UE.</w:t>
      </w:r>
      <w:r w:rsidRPr="005F70BF">
        <w:rPr>
          <w:noProof/>
        </w:rPr>
        <w:t xml:space="preserve"> </w:t>
      </w:r>
    </w:p>
    <w:p w14:paraId="3B04E434" w14:textId="1B5A892C" w:rsidR="00A25B75" w:rsidRPr="00443246" w:rsidRDefault="00966FF1" w:rsidP="00B30A10">
      <w:pPr>
        <w:pStyle w:val="af7"/>
        <w:snapToGrid w:val="0"/>
        <w:jc w:val="both"/>
        <w:rPr>
          <w:noProof/>
        </w:rPr>
      </w:pPr>
      <w:bookmarkStart w:id="8" w:name="_Ref136533349"/>
      <w:r w:rsidRPr="00341CE1">
        <w:rPr>
          <w:i/>
        </w:rPr>
        <w:t xml:space="preserve">Observation </w:t>
      </w:r>
      <w:r w:rsidRPr="00341CE1">
        <w:rPr>
          <w:i/>
        </w:rPr>
        <w:fldChar w:fldCharType="begin"/>
      </w:r>
      <w:r w:rsidRPr="00341CE1">
        <w:rPr>
          <w:i/>
        </w:rPr>
        <w:instrText xml:space="preserve"> SEQ Observation \* ARABIC </w:instrText>
      </w:r>
      <w:r w:rsidRPr="00341CE1">
        <w:rPr>
          <w:i/>
        </w:rPr>
        <w:fldChar w:fldCharType="separate"/>
      </w:r>
      <w:r w:rsidR="002514E5">
        <w:rPr>
          <w:i/>
          <w:noProof/>
        </w:rPr>
        <w:t>3</w:t>
      </w:r>
      <w:r w:rsidRPr="00341CE1">
        <w:rPr>
          <w:i/>
        </w:rPr>
        <w:fldChar w:fldCharType="end"/>
      </w:r>
      <w:r w:rsidRPr="00341CE1">
        <w:rPr>
          <w:i/>
        </w:rPr>
        <w:t xml:space="preserve">: Existing IE is not applicable </w:t>
      </w:r>
      <w:bookmarkStart w:id="9" w:name="_Ref117628975"/>
      <w:r w:rsidRPr="00341CE1">
        <w:rPr>
          <w:i/>
        </w:rPr>
        <w:t xml:space="preserve">to support DL DC_(n)48CA, UL DC_48A_n48A, since the network would not configure DL in config#1 and UL in config#2 in </w:t>
      </w:r>
      <w:r w:rsidRPr="00341CE1">
        <w:rPr>
          <w:i/>
        </w:rPr>
        <w:fldChar w:fldCharType="begin"/>
      </w:r>
      <w:r w:rsidRPr="00341CE1">
        <w:rPr>
          <w:i/>
        </w:rPr>
        <w:instrText xml:space="preserve"> REF _Ref136532813 \h </w:instrText>
      </w:r>
      <w:r w:rsidR="00341CE1">
        <w:rPr>
          <w:i/>
        </w:rPr>
        <w:instrText xml:space="preserve"> \* MERGEFORMAT </w:instrText>
      </w:r>
      <w:r w:rsidRPr="00341CE1">
        <w:rPr>
          <w:i/>
        </w:rPr>
      </w:r>
      <w:r w:rsidRPr="00341CE1">
        <w:rPr>
          <w:i/>
        </w:rPr>
        <w:fldChar w:fldCharType="separate"/>
      </w:r>
      <w:r w:rsidR="002514E5" w:rsidRPr="00443246">
        <w:rPr>
          <w:i/>
        </w:rPr>
        <w:t xml:space="preserve">Observation </w:t>
      </w:r>
      <w:r w:rsidR="002514E5">
        <w:rPr>
          <w:i/>
          <w:noProof/>
        </w:rPr>
        <w:t>2</w:t>
      </w:r>
      <w:r w:rsidRPr="00341CE1">
        <w:rPr>
          <w:i/>
        </w:rPr>
        <w:fldChar w:fldCharType="end"/>
      </w:r>
      <w:r w:rsidRPr="00341CE1">
        <w:rPr>
          <w:i/>
        </w:rPr>
        <w:t>.</w:t>
      </w:r>
      <w:bookmarkEnd w:id="8"/>
      <w:r w:rsidRPr="00341CE1" w:rsidDel="009A6992">
        <w:rPr>
          <w:i/>
        </w:rPr>
        <w:t xml:space="preserve"> </w:t>
      </w:r>
      <w:bookmarkEnd w:id="9"/>
    </w:p>
    <w:p w14:paraId="64FA9296" w14:textId="6934B95B" w:rsidR="006655B1" w:rsidRPr="00C32AF4" w:rsidRDefault="006655B1" w:rsidP="006655B1">
      <w:pPr>
        <w:pStyle w:val="3"/>
        <w:spacing w:after="0"/>
      </w:pPr>
      <w:r w:rsidRPr="00C32AF4">
        <w:t>2.</w:t>
      </w:r>
      <w:r w:rsidR="00EB182B">
        <w:t>3</w:t>
      </w:r>
      <w:r w:rsidR="00966FF1">
        <w:t>.</w:t>
      </w:r>
      <w:r w:rsidRPr="00C32AF4">
        <w:t xml:space="preserve"> </w:t>
      </w:r>
      <w:r>
        <w:t>The support of Case 3 in RAN4 specification</w:t>
      </w:r>
    </w:p>
    <w:p w14:paraId="2803F7DB" w14:textId="7A5883E8" w:rsidR="009A6992" w:rsidRPr="003E6B17" w:rsidRDefault="00CF59FF" w:rsidP="009F72A0">
      <w:pPr>
        <w:pStyle w:val="af0"/>
        <w:snapToGrid w:val="0"/>
        <w:rPr>
          <w:rFonts w:eastAsiaTheme="minorEastAsia"/>
          <w:iCs/>
          <w:sz w:val="20"/>
        </w:rPr>
      </w:pPr>
      <w:r w:rsidRPr="00CF59FF">
        <w:rPr>
          <w:rFonts w:eastAsiaTheme="minorEastAsia"/>
          <w:iCs/>
          <w:sz w:val="20"/>
        </w:rPr>
        <w:t>Case 3</w:t>
      </w:r>
      <w:r w:rsidR="009A6992">
        <w:rPr>
          <w:rFonts w:eastAsiaTheme="minorEastAsia"/>
          <w:iCs/>
          <w:sz w:val="20"/>
        </w:rPr>
        <w:t xml:space="preserve"> is supported </w:t>
      </w:r>
      <w:r w:rsidR="009A6992" w:rsidRPr="009A6992">
        <w:rPr>
          <w:rFonts w:eastAsiaTheme="minorEastAsia"/>
          <w:iCs/>
          <w:sz w:val="20"/>
        </w:rPr>
        <w:t>as illu</w:t>
      </w:r>
      <w:r w:rsidR="009A6992">
        <w:rPr>
          <w:rFonts w:eastAsiaTheme="minorEastAsia"/>
          <w:iCs/>
          <w:sz w:val="20"/>
        </w:rPr>
        <w:t xml:space="preserve">strated in </w:t>
      </w:r>
      <w:r w:rsidR="009A6992" w:rsidRPr="003E6B17">
        <w:rPr>
          <w:rFonts w:eastAsiaTheme="minorEastAsia"/>
          <w:iCs/>
          <w:sz w:val="20"/>
          <w:szCs w:val="20"/>
        </w:rPr>
        <w:fldChar w:fldCharType="begin"/>
      </w:r>
      <w:r w:rsidR="009A6992" w:rsidRPr="00F200CA">
        <w:rPr>
          <w:rFonts w:eastAsiaTheme="minorEastAsia"/>
          <w:iCs/>
          <w:sz w:val="20"/>
          <w:szCs w:val="20"/>
        </w:rPr>
        <w:instrText xml:space="preserve"> REF _Ref136510493 \h </w:instrText>
      </w:r>
      <w:r w:rsidR="009A6992">
        <w:rPr>
          <w:rFonts w:eastAsiaTheme="minorEastAsia"/>
          <w:iCs/>
          <w:sz w:val="20"/>
          <w:szCs w:val="20"/>
        </w:rPr>
        <w:instrText xml:space="preserve"> \* MERGEFORMAT </w:instrText>
      </w:r>
      <w:r w:rsidR="009A6992" w:rsidRPr="003E6B17">
        <w:rPr>
          <w:rFonts w:eastAsiaTheme="minorEastAsia"/>
          <w:iCs/>
          <w:sz w:val="20"/>
          <w:szCs w:val="20"/>
        </w:rPr>
      </w:r>
      <w:r w:rsidR="009A6992" w:rsidRPr="003E6B17">
        <w:rPr>
          <w:rFonts w:eastAsiaTheme="minorEastAsia"/>
          <w:iCs/>
          <w:sz w:val="20"/>
          <w:szCs w:val="20"/>
        </w:rPr>
        <w:fldChar w:fldCharType="separate"/>
      </w:r>
      <w:r w:rsidR="002514E5" w:rsidRPr="001A6BB5">
        <w:rPr>
          <w:sz w:val="20"/>
          <w:szCs w:val="20"/>
        </w:rPr>
        <w:t xml:space="preserve">Table </w:t>
      </w:r>
      <w:r w:rsidR="002514E5" w:rsidRPr="001A6BB5">
        <w:rPr>
          <w:noProof/>
          <w:sz w:val="20"/>
          <w:szCs w:val="20"/>
        </w:rPr>
        <w:t>1</w:t>
      </w:r>
      <w:r w:rsidR="009A6992" w:rsidRPr="003E6B17">
        <w:rPr>
          <w:rFonts w:eastAsiaTheme="minorEastAsia"/>
          <w:iCs/>
          <w:sz w:val="20"/>
          <w:szCs w:val="20"/>
        </w:rPr>
        <w:fldChar w:fldCharType="end"/>
      </w:r>
      <w:r w:rsidR="009A6992" w:rsidRPr="009A6992">
        <w:rPr>
          <w:rFonts w:eastAsiaTheme="minorEastAsia"/>
          <w:iCs/>
          <w:sz w:val="20"/>
        </w:rPr>
        <w:t xml:space="preserve"> scenario #</w:t>
      </w:r>
      <w:r w:rsidR="009A6992">
        <w:rPr>
          <w:rFonts w:eastAsiaTheme="minorEastAsia"/>
          <w:iCs/>
          <w:sz w:val="20"/>
        </w:rPr>
        <w:t xml:space="preserve">2 with ‘non-contiguous’ by </w:t>
      </w:r>
      <w:proofErr w:type="spellStart"/>
      <w:r w:rsidR="009A6992" w:rsidRPr="00F200CA">
        <w:rPr>
          <w:rFonts w:eastAsiaTheme="minorEastAsia"/>
          <w:i/>
          <w:iCs/>
          <w:sz w:val="20"/>
        </w:rPr>
        <w:t>intraBandENDC</w:t>
      </w:r>
      <w:proofErr w:type="spellEnd"/>
      <w:r w:rsidR="009A6992" w:rsidRPr="00F200CA">
        <w:rPr>
          <w:rFonts w:eastAsiaTheme="minorEastAsia"/>
          <w:i/>
          <w:iCs/>
          <w:sz w:val="20"/>
        </w:rPr>
        <w:t>-Support-UL</w:t>
      </w:r>
      <w:r w:rsidR="009A6992" w:rsidRPr="009A6992">
        <w:rPr>
          <w:rFonts w:eastAsiaTheme="minorEastAsia"/>
          <w:iCs/>
          <w:sz w:val="20"/>
        </w:rPr>
        <w:t xml:space="preserve"> </w:t>
      </w:r>
      <w:r w:rsidR="009A6992">
        <w:rPr>
          <w:rFonts w:eastAsiaTheme="minorEastAsia"/>
          <w:iCs/>
          <w:sz w:val="20"/>
        </w:rPr>
        <w:t xml:space="preserve">and absence of </w:t>
      </w:r>
      <w:proofErr w:type="spellStart"/>
      <w:r w:rsidR="009A6992" w:rsidRPr="00F200CA">
        <w:rPr>
          <w:rFonts w:eastAsiaTheme="minorEastAsia"/>
          <w:i/>
          <w:iCs/>
          <w:sz w:val="20"/>
        </w:rPr>
        <w:t>intraBandENDC</w:t>
      </w:r>
      <w:proofErr w:type="spellEnd"/>
      <w:r w:rsidR="009A6992" w:rsidRPr="00F200CA">
        <w:rPr>
          <w:rFonts w:eastAsiaTheme="minorEastAsia"/>
          <w:i/>
          <w:iCs/>
          <w:sz w:val="20"/>
        </w:rPr>
        <w:t>-Support</w:t>
      </w:r>
      <w:r w:rsidR="00F41A30">
        <w:rPr>
          <w:rFonts w:eastAsiaTheme="minorEastAsia"/>
          <w:iCs/>
          <w:sz w:val="20"/>
        </w:rPr>
        <w:t>.</w:t>
      </w:r>
    </w:p>
    <w:p w14:paraId="5B3FB904" w14:textId="0B40FC89" w:rsidR="00CD79E2" w:rsidRDefault="00CD79E2" w:rsidP="00B30A10">
      <w:pPr>
        <w:pStyle w:val="af7"/>
        <w:keepNext/>
        <w:snapToGrid w:val="0"/>
        <w:jc w:val="center"/>
      </w:pPr>
      <w:bookmarkStart w:id="10" w:name="_Ref134626672"/>
      <w:r>
        <w:rPr>
          <w:noProof/>
          <w:lang w:val="en-US" w:eastAsia="zh-CN"/>
        </w:rPr>
        <w:drawing>
          <wp:inline distT="0" distB="0" distL="0" distR="0" wp14:anchorId="5724B869" wp14:editId="31A83E27">
            <wp:extent cx="5773003" cy="13992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83547" cy="1401781"/>
                    </a:xfrm>
                    <a:prstGeom prst="rect">
                      <a:avLst/>
                    </a:prstGeom>
                  </pic:spPr>
                </pic:pic>
              </a:graphicData>
            </a:graphic>
          </wp:inline>
        </w:drawing>
      </w:r>
    </w:p>
    <w:p w14:paraId="3C854768" w14:textId="0BD29C0A" w:rsidR="00CD79E2" w:rsidRPr="00B30A10" w:rsidRDefault="00CD79E2" w:rsidP="00CD79E2">
      <w:pPr>
        <w:pStyle w:val="af7"/>
        <w:jc w:val="center"/>
        <w:rPr>
          <w:rFonts w:ascii="Arial" w:hAnsi="Arial" w:cs="Arial"/>
          <w:sz w:val="18"/>
        </w:rPr>
      </w:pPr>
      <w:r w:rsidRPr="00B30A10">
        <w:rPr>
          <w:rFonts w:ascii="Arial" w:hAnsi="Arial" w:cs="Arial"/>
          <w:sz w:val="18"/>
        </w:rPr>
        <w:t xml:space="preserve">Figure </w:t>
      </w:r>
      <w:r w:rsidRPr="00B30A10">
        <w:rPr>
          <w:rFonts w:ascii="Arial" w:hAnsi="Arial" w:cs="Arial"/>
          <w:sz w:val="18"/>
        </w:rPr>
        <w:fldChar w:fldCharType="begin"/>
      </w:r>
      <w:r w:rsidRPr="00B30A10">
        <w:rPr>
          <w:rFonts w:ascii="Arial" w:hAnsi="Arial" w:cs="Arial"/>
          <w:sz w:val="18"/>
        </w:rPr>
        <w:instrText xml:space="preserve"> SEQ Figure \* ARABIC </w:instrText>
      </w:r>
      <w:r w:rsidRPr="00B30A10">
        <w:rPr>
          <w:rFonts w:ascii="Arial" w:hAnsi="Arial" w:cs="Arial"/>
          <w:sz w:val="18"/>
        </w:rPr>
        <w:fldChar w:fldCharType="separate"/>
      </w:r>
      <w:r w:rsidR="002514E5">
        <w:rPr>
          <w:rFonts w:ascii="Arial" w:hAnsi="Arial" w:cs="Arial"/>
          <w:noProof/>
          <w:sz w:val="18"/>
        </w:rPr>
        <w:t>2</w:t>
      </w:r>
      <w:r w:rsidRPr="00B30A10">
        <w:rPr>
          <w:rFonts w:ascii="Arial" w:hAnsi="Arial" w:cs="Arial"/>
          <w:sz w:val="18"/>
        </w:rPr>
        <w:fldChar w:fldCharType="end"/>
      </w:r>
      <w:r w:rsidRPr="00B30A10">
        <w:rPr>
          <w:rFonts w:ascii="Arial" w:hAnsi="Arial" w:cs="Arial"/>
          <w:sz w:val="18"/>
        </w:rPr>
        <w:t xml:space="preserve"> UE supports Case 3 with ‘non-contiguous’ indicated by </w:t>
      </w:r>
      <w:proofErr w:type="spellStart"/>
      <w:r w:rsidRPr="00B30A10">
        <w:rPr>
          <w:rFonts w:ascii="Arial" w:hAnsi="Arial" w:cs="Arial"/>
          <w:i/>
          <w:sz w:val="18"/>
        </w:rPr>
        <w:t>intraBandENDC</w:t>
      </w:r>
      <w:proofErr w:type="spellEnd"/>
      <w:r w:rsidRPr="00B30A10">
        <w:rPr>
          <w:rFonts w:ascii="Arial" w:hAnsi="Arial" w:cs="Arial"/>
          <w:i/>
          <w:sz w:val="18"/>
        </w:rPr>
        <w:t>-Support-UL</w:t>
      </w:r>
    </w:p>
    <w:p w14:paraId="3806AA28" w14:textId="406FFD5F" w:rsidR="009B4432" w:rsidRPr="00F200CA" w:rsidRDefault="0008424A" w:rsidP="00B30A10">
      <w:pPr>
        <w:pStyle w:val="af7"/>
        <w:snapToGrid w:val="0"/>
        <w:jc w:val="both"/>
        <w:rPr>
          <w:b w:val="0"/>
        </w:rPr>
      </w:pPr>
      <w:r w:rsidRPr="00F200CA">
        <w:rPr>
          <w:b w:val="0"/>
        </w:rPr>
        <w:t xml:space="preserve">To implement the </w:t>
      </w:r>
      <w:r w:rsidR="00190689">
        <w:rPr>
          <w:b w:val="0"/>
        </w:rPr>
        <w:t>special intra-band EN-DC configuration for CBRS band</w:t>
      </w:r>
      <w:r w:rsidR="003E6B17">
        <w:rPr>
          <w:b w:val="0"/>
        </w:rPr>
        <w:t xml:space="preserve">, and to implement </w:t>
      </w:r>
      <w:r w:rsidR="00190689" w:rsidRPr="00190689">
        <w:rPr>
          <w:b w:val="0"/>
        </w:rPr>
        <w:t xml:space="preserve">the middle channel 48A </w:t>
      </w:r>
      <w:r w:rsidR="003E6B17">
        <w:rPr>
          <w:b w:val="0"/>
        </w:rPr>
        <w:t xml:space="preserve">to </w:t>
      </w:r>
      <w:r w:rsidR="00190689" w:rsidRPr="00190689">
        <w:rPr>
          <w:b w:val="0"/>
        </w:rPr>
        <w:t>be turned off by SAS due to Tier-1 incumbent access users or higher interference</w:t>
      </w:r>
      <w:r w:rsidR="003E6B17">
        <w:rPr>
          <w:b w:val="0"/>
        </w:rPr>
        <w:t xml:space="preserve">, for the UE supports Case 3, it should </w:t>
      </w:r>
      <w:r w:rsidR="003E6B17" w:rsidRPr="003E6B17">
        <w:rPr>
          <w:b w:val="0"/>
        </w:rPr>
        <w:t xml:space="preserve">additionally support DC_48A_n48A </w:t>
      </w:r>
      <w:r w:rsidR="003E6B17">
        <w:rPr>
          <w:b w:val="0"/>
        </w:rPr>
        <w:t xml:space="preserve">at least </w:t>
      </w:r>
      <w:r w:rsidR="003E6B17" w:rsidRPr="003E6B17">
        <w:rPr>
          <w:b w:val="0"/>
        </w:rPr>
        <w:t>for DL configuration</w:t>
      </w:r>
      <w:r w:rsidR="003E6B17">
        <w:rPr>
          <w:b w:val="0"/>
        </w:rPr>
        <w:t>.</w:t>
      </w:r>
    </w:p>
    <w:p w14:paraId="2AB0F59C" w14:textId="6B217E77" w:rsidR="008C6C67" w:rsidRPr="008C6C67" w:rsidRDefault="003E6B17" w:rsidP="00B30A10">
      <w:pPr>
        <w:pStyle w:val="af7"/>
        <w:snapToGrid w:val="0"/>
        <w:jc w:val="both"/>
        <w:rPr>
          <w:i/>
        </w:rPr>
      </w:pPr>
      <w:bookmarkStart w:id="11" w:name="_Ref134897592"/>
      <w:r w:rsidRPr="00443246">
        <w:rPr>
          <w:i/>
        </w:rPr>
        <w:t xml:space="preserve">Proposal </w:t>
      </w:r>
      <w:r w:rsidRPr="00443246">
        <w:rPr>
          <w:i/>
        </w:rPr>
        <w:fldChar w:fldCharType="begin"/>
      </w:r>
      <w:r w:rsidRPr="00443246">
        <w:rPr>
          <w:i/>
        </w:rPr>
        <w:instrText xml:space="preserve"> SEQ Proposal \* ARABIC </w:instrText>
      </w:r>
      <w:r w:rsidRPr="00443246">
        <w:rPr>
          <w:i/>
        </w:rPr>
        <w:fldChar w:fldCharType="separate"/>
      </w:r>
      <w:r w:rsidR="002514E5">
        <w:rPr>
          <w:i/>
          <w:noProof/>
        </w:rPr>
        <w:t>1</w:t>
      </w:r>
      <w:r w:rsidRPr="00443246">
        <w:rPr>
          <w:i/>
        </w:rPr>
        <w:fldChar w:fldCharType="end"/>
      </w:r>
      <w:r w:rsidRPr="00443246">
        <w:rPr>
          <w:i/>
        </w:rPr>
        <w:t>: For the UE supports Case 3,</w:t>
      </w:r>
      <w:r w:rsidR="00EB182B">
        <w:rPr>
          <w:i/>
        </w:rPr>
        <w:t xml:space="preserve"> e.g.,</w:t>
      </w:r>
      <w:r w:rsidR="00EB182B" w:rsidRPr="00EB182B">
        <w:rPr>
          <w:lang w:eastAsia="zh-CN"/>
        </w:rPr>
        <w:t xml:space="preserve"> </w:t>
      </w:r>
      <w:r w:rsidR="00EB182B" w:rsidRPr="00443246">
        <w:rPr>
          <w:i/>
          <w:lang w:eastAsia="zh-CN"/>
        </w:rPr>
        <w:t xml:space="preserve">DL DC_(n)48CA/ DC_(n)48DA and UL </w:t>
      </w:r>
      <w:r w:rsidR="00EB182B" w:rsidRPr="00443246">
        <w:rPr>
          <w:rFonts w:eastAsia="PMingLiU"/>
          <w:i/>
          <w:lang w:eastAsia="zh-TW"/>
        </w:rPr>
        <w:t>DC_</w:t>
      </w:r>
      <w:r w:rsidR="00EB182B" w:rsidRPr="00443246">
        <w:rPr>
          <w:i/>
          <w:lang w:eastAsia="zh-CN"/>
        </w:rPr>
        <w:t>48A_n48A</w:t>
      </w:r>
      <w:r w:rsidR="00443246">
        <w:rPr>
          <w:i/>
          <w:lang w:eastAsia="zh-CN"/>
        </w:rPr>
        <w:t>,</w:t>
      </w:r>
      <w:r w:rsidRPr="00443246">
        <w:rPr>
          <w:i/>
        </w:rPr>
        <w:t xml:space="preserve"> it should additionally support DC_48A_n48A at least for DL configuration</w:t>
      </w:r>
      <w:r>
        <w:rPr>
          <w:i/>
        </w:rPr>
        <w:t xml:space="preserve"> in RAN4 specification, to implement</w:t>
      </w:r>
      <w:r w:rsidRPr="003E6B17">
        <w:t xml:space="preserve"> </w:t>
      </w:r>
      <w:r w:rsidRPr="003E6B17">
        <w:rPr>
          <w:i/>
        </w:rPr>
        <w:t>the special intra-band EN-DC configuration for CBRS band</w:t>
      </w:r>
      <w:r w:rsidRPr="00443246">
        <w:rPr>
          <w:i/>
        </w:rPr>
        <w:t>.</w:t>
      </w:r>
      <w:bookmarkEnd w:id="10"/>
      <w:bookmarkEnd w:id="11"/>
    </w:p>
    <w:p w14:paraId="0A98970F" w14:textId="26B7C455" w:rsidR="003E6B17" w:rsidRPr="00C32AF4" w:rsidRDefault="003E6B17" w:rsidP="003E6B17">
      <w:pPr>
        <w:pStyle w:val="3"/>
        <w:spacing w:after="0"/>
      </w:pPr>
      <w:r w:rsidRPr="00C32AF4">
        <w:t>2.</w:t>
      </w:r>
      <w:r w:rsidR="00EB182B">
        <w:t>4</w:t>
      </w:r>
      <w:r w:rsidR="00966FF1">
        <w:t>.</w:t>
      </w:r>
      <w:r w:rsidRPr="00C32AF4">
        <w:t xml:space="preserve"> </w:t>
      </w:r>
      <w:r>
        <w:t>The support of Case 4 in RAN2 and RAN4 specification</w:t>
      </w:r>
    </w:p>
    <w:p w14:paraId="504B119E" w14:textId="34749C13" w:rsidR="00AC2557" w:rsidRDefault="006939F7" w:rsidP="00B30A10">
      <w:pPr>
        <w:pStyle w:val="af0"/>
        <w:snapToGrid w:val="0"/>
        <w:jc w:val="both"/>
        <w:rPr>
          <w:sz w:val="20"/>
        </w:rPr>
      </w:pPr>
      <w:r w:rsidRPr="00CF59FF">
        <w:rPr>
          <w:rFonts w:eastAsiaTheme="minorEastAsia"/>
          <w:iCs/>
          <w:sz w:val="20"/>
        </w:rPr>
        <w:t xml:space="preserve">Case </w:t>
      </w:r>
      <w:r>
        <w:rPr>
          <w:rFonts w:eastAsiaTheme="minorEastAsia"/>
          <w:iCs/>
          <w:sz w:val="20"/>
        </w:rPr>
        <w:t xml:space="preserve">4 is supported </w:t>
      </w:r>
      <w:r w:rsidRPr="009A6992">
        <w:rPr>
          <w:rFonts w:eastAsiaTheme="minorEastAsia"/>
          <w:iCs/>
          <w:sz w:val="20"/>
        </w:rPr>
        <w:t>as illu</w:t>
      </w:r>
      <w:r>
        <w:rPr>
          <w:rFonts w:eastAsiaTheme="minorEastAsia"/>
          <w:iCs/>
          <w:sz w:val="20"/>
        </w:rPr>
        <w:t xml:space="preserve">strated in </w:t>
      </w:r>
      <w:r w:rsidRPr="003E6B17">
        <w:rPr>
          <w:rFonts w:eastAsiaTheme="minorEastAsia"/>
          <w:iCs/>
          <w:sz w:val="20"/>
          <w:szCs w:val="20"/>
        </w:rPr>
        <w:fldChar w:fldCharType="begin"/>
      </w:r>
      <w:r w:rsidRPr="00F72A4B">
        <w:rPr>
          <w:rFonts w:eastAsiaTheme="minorEastAsia"/>
          <w:iCs/>
          <w:sz w:val="20"/>
          <w:szCs w:val="20"/>
        </w:rPr>
        <w:instrText xml:space="preserve"> REF _Ref136510493 \h </w:instrText>
      </w:r>
      <w:r>
        <w:rPr>
          <w:rFonts w:eastAsiaTheme="minorEastAsia"/>
          <w:iCs/>
          <w:sz w:val="20"/>
          <w:szCs w:val="20"/>
        </w:rPr>
        <w:instrText xml:space="preserve"> \* MERGEFORMAT </w:instrText>
      </w:r>
      <w:r w:rsidRPr="003E6B17">
        <w:rPr>
          <w:rFonts w:eastAsiaTheme="minorEastAsia"/>
          <w:iCs/>
          <w:sz w:val="20"/>
          <w:szCs w:val="20"/>
        </w:rPr>
      </w:r>
      <w:r w:rsidRPr="003E6B17">
        <w:rPr>
          <w:rFonts w:eastAsiaTheme="minorEastAsia"/>
          <w:iCs/>
          <w:sz w:val="20"/>
          <w:szCs w:val="20"/>
        </w:rPr>
        <w:fldChar w:fldCharType="separate"/>
      </w:r>
      <w:r w:rsidR="002514E5" w:rsidRPr="001A6BB5">
        <w:rPr>
          <w:sz w:val="20"/>
          <w:szCs w:val="20"/>
        </w:rPr>
        <w:t xml:space="preserve">Table </w:t>
      </w:r>
      <w:r w:rsidR="002514E5" w:rsidRPr="001A6BB5">
        <w:rPr>
          <w:noProof/>
          <w:sz w:val="20"/>
          <w:szCs w:val="20"/>
        </w:rPr>
        <w:t>1</w:t>
      </w:r>
      <w:r w:rsidRPr="003E6B17">
        <w:rPr>
          <w:rFonts w:eastAsiaTheme="minorEastAsia"/>
          <w:iCs/>
          <w:sz w:val="20"/>
          <w:szCs w:val="20"/>
        </w:rPr>
        <w:fldChar w:fldCharType="end"/>
      </w:r>
      <w:r w:rsidRPr="009A6992">
        <w:rPr>
          <w:rFonts w:eastAsiaTheme="minorEastAsia"/>
          <w:iCs/>
          <w:sz w:val="20"/>
        </w:rPr>
        <w:t xml:space="preserve"> scenario #</w:t>
      </w:r>
      <w:r>
        <w:rPr>
          <w:rFonts w:eastAsiaTheme="minorEastAsia"/>
          <w:iCs/>
          <w:sz w:val="20"/>
        </w:rPr>
        <w:t xml:space="preserve">6 with ‘both’ by </w:t>
      </w:r>
      <w:proofErr w:type="spellStart"/>
      <w:r w:rsidRPr="00F72A4B">
        <w:rPr>
          <w:rFonts w:eastAsiaTheme="minorEastAsia"/>
          <w:i/>
          <w:iCs/>
          <w:sz w:val="20"/>
        </w:rPr>
        <w:t>intraBandENDC</w:t>
      </w:r>
      <w:proofErr w:type="spellEnd"/>
      <w:r w:rsidRPr="00F72A4B">
        <w:rPr>
          <w:rFonts w:eastAsiaTheme="minorEastAsia"/>
          <w:i/>
          <w:iCs/>
          <w:sz w:val="20"/>
        </w:rPr>
        <w:t>-Support-UL</w:t>
      </w:r>
      <w:r w:rsidRPr="009A6992">
        <w:rPr>
          <w:rFonts w:eastAsiaTheme="minorEastAsia"/>
          <w:iCs/>
          <w:sz w:val="20"/>
        </w:rPr>
        <w:t xml:space="preserve"> </w:t>
      </w:r>
      <w:r>
        <w:rPr>
          <w:rFonts w:eastAsiaTheme="minorEastAsia"/>
          <w:iCs/>
          <w:sz w:val="20"/>
        </w:rPr>
        <w:t xml:space="preserve">and absence of </w:t>
      </w:r>
      <w:proofErr w:type="spellStart"/>
      <w:r w:rsidRPr="00F72A4B">
        <w:rPr>
          <w:rFonts w:eastAsiaTheme="minorEastAsia"/>
          <w:i/>
          <w:iCs/>
          <w:sz w:val="20"/>
        </w:rPr>
        <w:t>intraBandENDC</w:t>
      </w:r>
      <w:proofErr w:type="spellEnd"/>
      <w:r w:rsidRPr="00F72A4B">
        <w:rPr>
          <w:rFonts w:eastAsiaTheme="minorEastAsia"/>
          <w:i/>
          <w:iCs/>
          <w:sz w:val="20"/>
        </w:rPr>
        <w:t>-Support</w:t>
      </w:r>
      <w:r>
        <w:rPr>
          <w:rFonts w:eastAsiaTheme="minorEastAsia"/>
          <w:iCs/>
          <w:sz w:val="20"/>
        </w:rPr>
        <w:t>.</w:t>
      </w:r>
      <w:r w:rsidRPr="006939F7">
        <w:rPr>
          <w:sz w:val="20"/>
        </w:rPr>
        <w:t xml:space="preserve"> </w:t>
      </w:r>
    </w:p>
    <w:p w14:paraId="229094DB" w14:textId="61A311CF" w:rsidR="006939F7" w:rsidRPr="003E6B17" w:rsidRDefault="006939F7" w:rsidP="00B30A10">
      <w:pPr>
        <w:pStyle w:val="af0"/>
        <w:snapToGrid w:val="0"/>
        <w:jc w:val="both"/>
        <w:rPr>
          <w:rFonts w:eastAsiaTheme="minorEastAsia"/>
          <w:iCs/>
          <w:sz w:val="20"/>
        </w:rPr>
      </w:pPr>
      <w:r>
        <w:rPr>
          <w:sz w:val="20"/>
        </w:rPr>
        <w:t xml:space="preserve">In RAN2’s perspective, the capability signaling (i.e. </w:t>
      </w:r>
      <w:proofErr w:type="spellStart"/>
      <w:r w:rsidRPr="00B30A10">
        <w:rPr>
          <w:i/>
          <w:sz w:val="20"/>
        </w:rPr>
        <w:t>intrabandENDC</w:t>
      </w:r>
      <w:proofErr w:type="spellEnd"/>
      <w:r w:rsidRPr="00B30A10">
        <w:rPr>
          <w:i/>
          <w:sz w:val="20"/>
        </w:rPr>
        <w:t>-Support</w:t>
      </w:r>
      <w:r>
        <w:rPr>
          <w:sz w:val="20"/>
        </w:rPr>
        <w:t>/</w:t>
      </w:r>
      <w:proofErr w:type="spellStart"/>
      <w:r w:rsidRPr="00B30A10">
        <w:rPr>
          <w:i/>
          <w:sz w:val="20"/>
        </w:rPr>
        <w:t>intrabandENDC</w:t>
      </w:r>
      <w:proofErr w:type="spellEnd"/>
      <w:r w:rsidRPr="00B30A10">
        <w:rPr>
          <w:i/>
          <w:sz w:val="20"/>
        </w:rPr>
        <w:t>-Support-UL</w:t>
      </w:r>
      <w:r>
        <w:rPr>
          <w:sz w:val="20"/>
        </w:rPr>
        <w:t xml:space="preserve">) is intended to indicate the </w:t>
      </w:r>
      <w:r w:rsidR="00443246">
        <w:rPr>
          <w:sz w:val="20"/>
        </w:rPr>
        <w:t xml:space="preserve">contiguity </w:t>
      </w:r>
      <w:r>
        <w:rPr>
          <w:sz w:val="20"/>
        </w:rPr>
        <w:t>for adjacent LTE carrier and NR carrier.</w:t>
      </w:r>
      <w:r w:rsidRPr="006939F7">
        <w:rPr>
          <w:sz w:val="20"/>
        </w:rPr>
        <w:t xml:space="preserve"> </w:t>
      </w:r>
      <w:r>
        <w:rPr>
          <w:sz w:val="20"/>
        </w:rPr>
        <w:t>As illustrated in</w:t>
      </w:r>
      <w:r w:rsidR="00AC2557">
        <w:rPr>
          <w:sz w:val="20"/>
        </w:rPr>
        <w:t xml:space="preserve"> </w:t>
      </w:r>
      <w:r w:rsidR="00AC2557" w:rsidRPr="004556A4">
        <w:rPr>
          <w:sz w:val="20"/>
          <w:szCs w:val="20"/>
        </w:rPr>
        <w:fldChar w:fldCharType="begin"/>
      </w:r>
      <w:r w:rsidR="00AC2557" w:rsidRPr="00F200CA">
        <w:rPr>
          <w:sz w:val="20"/>
          <w:szCs w:val="20"/>
        </w:rPr>
        <w:instrText xml:space="preserve"> REF _Ref136525985 \h </w:instrText>
      </w:r>
      <w:r w:rsidR="00AC2557">
        <w:rPr>
          <w:sz w:val="20"/>
          <w:szCs w:val="20"/>
        </w:rPr>
        <w:instrText xml:space="preserve"> \* MERGEFORMAT </w:instrText>
      </w:r>
      <w:r w:rsidR="00AC2557" w:rsidRPr="004556A4">
        <w:rPr>
          <w:sz w:val="20"/>
          <w:szCs w:val="20"/>
        </w:rPr>
      </w:r>
      <w:r w:rsidR="00AC2557" w:rsidRPr="004556A4">
        <w:rPr>
          <w:sz w:val="20"/>
          <w:szCs w:val="20"/>
        </w:rPr>
        <w:fldChar w:fldCharType="separate"/>
      </w:r>
      <w:r w:rsidR="002514E5" w:rsidRPr="001A6BB5">
        <w:rPr>
          <w:sz w:val="20"/>
          <w:szCs w:val="20"/>
        </w:rPr>
        <w:t xml:space="preserve">Figure </w:t>
      </w:r>
      <w:r w:rsidR="002514E5" w:rsidRPr="001A6BB5">
        <w:rPr>
          <w:noProof/>
          <w:sz w:val="20"/>
          <w:szCs w:val="20"/>
        </w:rPr>
        <w:t>3</w:t>
      </w:r>
      <w:r w:rsidR="00AC2557" w:rsidRPr="004556A4">
        <w:rPr>
          <w:sz w:val="20"/>
          <w:szCs w:val="20"/>
        </w:rPr>
        <w:fldChar w:fldCharType="end"/>
      </w:r>
      <w:r w:rsidR="00AC2557" w:rsidRPr="00F53FBB">
        <w:rPr>
          <w:sz w:val="20"/>
          <w:szCs w:val="20"/>
        </w:rPr>
        <w:t xml:space="preserve"> and </w:t>
      </w:r>
      <w:r w:rsidR="00AC2557" w:rsidRPr="00EB182B">
        <w:rPr>
          <w:sz w:val="20"/>
          <w:szCs w:val="20"/>
        </w:rPr>
        <w:fldChar w:fldCharType="begin"/>
      </w:r>
      <w:r w:rsidR="00AC2557" w:rsidRPr="00F200CA">
        <w:rPr>
          <w:sz w:val="20"/>
          <w:szCs w:val="20"/>
        </w:rPr>
        <w:instrText xml:space="preserve"> REF _Ref136525986 \h </w:instrText>
      </w:r>
      <w:r w:rsidR="00AC2557">
        <w:rPr>
          <w:sz w:val="20"/>
          <w:szCs w:val="20"/>
        </w:rPr>
        <w:instrText xml:space="preserve"> \* MERGEFORMAT </w:instrText>
      </w:r>
      <w:r w:rsidR="00AC2557" w:rsidRPr="00EB182B">
        <w:rPr>
          <w:sz w:val="20"/>
          <w:szCs w:val="20"/>
        </w:rPr>
      </w:r>
      <w:r w:rsidR="00AC2557" w:rsidRPr="00EB182B">
        <w:rPr>
          <w:sz w:val="20"/>
          <w:szCs w:val="20"/>
        </w:rPr>
        <w:fldChar w:fldCharType="separate"/>
      </w:r>
      <w:r w:rsidR="002514E5" w:rsidRPr="001A6BB5">
        <w:rPr>
          <w:sz w:val="20"/>
          <w:szCs w:val="20"/>
        </w:rPr>
        <w:t xml:space="preserve">Figure </w:t>
      </w:r>
      <w:r w:rsidR="002514E5" w:rsidRPr="001A6BB5">
        <w:rPr>
          <w:noProof/>
          <w:sz w:val="20"/>
          <w:szCs w:val="20"/>
        </w:rPr>
        <w:t>4</w:t>
      </w:r>
      <w:r w:rsidR="00AC2557" w:rsidRPr="00EB182B">
        <w:rPr>
          <w:sz w:val="20"/>
          <w:szCs w:val="20"/>
        </w:rPr>
        <w:fldChar w:fldCharType="end"/>
      </w:r>
      <w:r>
        <w:rPr>
          <w:sz w:val="20"/>
        </w:rPr>
        <w:t>, in current capability signaling structure, for intra-RAT intra-band CA, the non-contiguous carriers can be indicated implicitly by multiple band entries.</w:t>
      </w:r>
    </w:p>
    <w:p w14:paraId="02A1C719" w14:textId="560F09C2" w:rsidR="002514E5" w:rsidRDefault="002514E5" w:rsidP="001A6BB5">
      <w:pPr>
        <w:pStyle w:val="af7"/>
        <w:snapToGrid w:val="0"/>
        <w:rPr>
          <w:i/>
        </w:rPr>
      </w:pPr>
      <w:bookmarkStart w:id="12" w:name="_Ref136878251"/>
      <w:bookmarkStart w:id="13" w:name="_Ref136528272"/>
      <w:r w:rsidRPr="001A6BB5">
        <w:rPr>
          <w:i/>
        </w:rPr>
        <w:t xml:space="preserve">Observation </w:t>
      </w:r>
      <w:r w:rsidRPr="001A6BB5">
        <w:rPr>
          <w:i/>
        </w:rPr>
        <w:fldChar w:fldCharType="begin"/>
      </w:r>
      <w:r w:rsidRPr="001A6BB5">
        <w:rPr>
          <w:i/>
        </w:rPr>
        <w:instrText xml:space="preserve"> SEQ Observation \* ARABIC </w:instrText>
      </w:r>
      <w:r w:rsidRPr="001A6BB5">
        <w:rPr>
          <w:i/>
        </w:rPr>
        <w:fldChar w:fldCharType="separate"/>
      </w:r>
      <w:r>
        <w:rPr>
          <w:i/>
          <w:noProof/>
        </w:rPr>
        <w:t>4</w:t>
      </w:r>
      <w:r w:rsidRPr="001A6BB5">
        <w:rPr>
          <w:i/>
        </w:rPr>
        <w:fldChar w:fldCharType="end"/>
      </w:r>
      <w:r w:rsidRPr="001A6BB5">
        <w:rPr>
          <w:i/>
        </w:rPr>
        <w:t>: RAN2 has confirmed that the contiguity of intra-band EN-DC depends on the contiguity of adjacent LTE carrier and NR carrier no matter whether PCC or SCC.</w:t>
      </w:r>
      <w:bookmarkEnd w:id="12"/>
    </w:p>
    <w:p w14:paraId="33A93088" w14:textId="77777777" w:rsidR="00014BD8" w:rsidRDefault="00014BD8" w:rsidP="00B30A10">
      <w:pPr>
        <w:pStyle w:val="af7"/>
        <w:keepNext/>
        <w:jc w:val="center"/>
      </w:pPr>
      <w:bookmarkStart w:id="14" w:name="_Ref134630526"/>
      <w:bookmarkEnd w:id="13"/>
      <w:r>
        <w:rPr>
          <w:noProof/>
          <w:lang w:val="en-US" w:eastAsia="zh-CN"/>
        </w:rPr>
        <w:drawing>
          <wp:inline distT="0" distB="0" distL="0" distR="0" wp14:anchorId="27905904" wp14:editId="5ABFDAB0">
            <wp:extent cx="5588759" cy="16804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01901" cy="1684407"/>
                    </a:xfrm>
                    <a:prstGeom prst="rect">
                      <a:avLst/>
                    </a:prstGeom>
                  </pic:spPr>
                </pic:pic>
              </a:graphicData>
            </a:graphic>
          </wp:inline>
        </w:drawing>
      </w:r>
    </w:p>
    <w:p w14:paraId="73103BF7" w14:textId="17EF3E46" w:rsidR="00014BD8" w:rsidRPr="00B30A10" w:rsidRDefault="00014BD8" w:rsidP="00014BD8">
      <w:pPr>
        <w:pStyle w:val="af7"/>
        <w:jc w:val="center"/>
        <w:rPr>
          <w:rFonts w:ascii="Arial" w:hAnsi="Arial" w:cs="Arial"/>
          <w:i/>
          <w:sz w:val="18"/>
        </w:rPr>
      </w:pPr>
      <w:bookmarkStart w:id="15" w:name="_Ref136525985"/>
      <w:r w:rsidRPr="00B30A10">
        <w:rPr>
          <w:rFonts w:ascii="Arial" w:hAnsi="Arial" w:cs="Arial"/>
          <w:sz w:val="18"/>
        </w:rPr>
        <w:t xml:space="preserve">Figure </w:t>
      </w:r>
      <w:r w:rsidRPr="00B30A10">
        <w:rPr>
          <w:rFonts w:ascii="Arial" w:hAnsi="Arial" w:cs="Arial"/>
          <w:sz w:val="18"/>
        </w:rPr>
        <w:fldChar w:fldCharType="begin"/>
      </w:r>
      <w:r w:rsidRPr="00B30A10">
        <w:rPr>
          <w:rFonts w:ascii="Arial" w:hAnsi="Arial" w:cs="Arial"/>
          <w:sz w:val="18"/>
        </w:rPr>
        <w:instrText xml:space="preserve"> SEQ Figure \* ARABIC </w:instrText>
      </w:r>
      <w:r w:rsidRPr="00B30A10">
        <w:rPr>
          <w:rFonts w:ascii="Arial" w:hAnsi="Arial" w:cs="Arial"/>
          <w:sz w:val="18"/>
        </w:rPr>
        <w:fldChar w:fldCharType="separate"/>
      </w:r>
      <w:r w:rsidR="002514E5">
        <w:rPr>
          <w:rFonts w:ascii="Arial" w:hAnsi="Arial" w:cs="Arial"/>
          <w:noProof/>
          <w:sz w:val="18"/>
        </w:rPr>
        <w:t>3</w:t>
      </w:r>
      <w:r w:rsidRPr="00B30A10">
        <w:rPr>
          <w:rFonts w:ascii="Arial" w:hAnsi="Arial" w:cs="Arial"/>
          <w:sz w:val="18"/>
        </w:rPr>
        <w:fldChar w:fldCharType="end"/>
      </w:r>
      <w:bookmarkEnd w:id="15"/>
      <w:r w:rsidRPr="00B30A10">
        <w:rPr>
          <w:rFonts w:ascii="Arial" w:hAnsi="Arial" w:cs="Arial"/>
          <w:sz w:val="18"/>
        </w:rPr>
        <w:t xml:space="preserve"> UE supports DL </w:t>
      </w:r>
      <w:r w:rsidRPr="00B30A10">
        <w:rPr>
          <w:rFonts w:ascii="Arial" w:eastAsiaTheme="minorEastAsia" w:hAnsi="Arial" w:cs="Arial"/>
          <w:iCs/>
          <w:sz w:val="18"/>
        </w:rPr>
        <w:t>DC_48A_(n)48AA</w:t>
      </w:r>
      <w:r w:rsidRPr="00B30A10">
        <w:rPr>
          <w:rFonts w:ascii="Arial" w:hAnsi="Arial" w:cs="Arial"/>
          <w:sz w:val="18"/>
        </w:rPr>
        <w:t>, UL DC_(n)48AA as intra-band contiguous EN-DC configuration</w:t>
      </w:r>
    </w:p>
    <w:p w14:paraId="647E2DE2" w14:textId="77777777" w:rsidR="00014BD8" w:rsidRDefault="00014BD8" w:rsidP="00B30A10">
      <w:pPr>
        <w:keepNext/>
        <w:jc w:val="center"/>
      </w:pPr>
      <w:r>
        <w:rPr>
          <w:noProof/>
        </w:rPr>
        <w:lastRenderedPageBreak/>
        <w:drawing>
          <wp:inline distT="0" distB="0" distL="0" distR="0" wp14:anchorId="0FC4E17E" wp14:editId="114F2EA9">
            <wp:extent cx="5861714" cy="1951675"/>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98067" cy="1963779"/>
                    </a:xfrm>
                    <a:prstGeom prst="rect">
                      <a:avLst/>
                    </a:prstGeom>
                  </pic:spPr>
                </pic:pic>
              </a:graphicData>
            </a:graphic>
          </wp:inline>
        </w:drawing>
      </w:r>
    </w:p>
    <w:p w14:paraId="5034BBA0" w14:textId="01A2A8E3" w:rsidR="00014BD8" w:rsidRPr="00B30A10" w:rsidRDefault="00014BD8" w:rsidP="00B30A10">
      <w:pPr>
        <w:pStyle w:val="af7"/>
        <w:jc w:val="center"/>
        <w:rPr>
          <w:rFonts w:ascii="Arial" w:hAnsi="Arial" w:cs="Arial"/>
        </w:rPr>
      </w:pPr>
      <w:bookmarkStart w:id="16" w:name="_Ref136525986"/>
      <w:r w:rsidRPr="00B30A10">
        <w:rPr>
          <w:rFonts w:ascii="Arial" w:hAnsi="Arial" w:cs="Arial"/>
          <w:sz w:val="18"/>
        </w:rPr>
        <w:t xml:space="preserve">Figure </w:t>
      </w:r>
      <w:r w:rsidRPr="00B30A10">
        <w:rPr>
          <w:rFonts w:ascii="Arial" w:hAnsi="Arial" w:cs="Arial"/>
          <w:sz w:val="18"/>
        </w:rPr>
        <w:fldChar w:fldCharType="begin"/>
      </w:r>
      <w:r w:rsidRPr="00B30A10">
        <w:rPr>
          <w:rFonts w:ascii="Arial" w:hAnsi="Arial" w:cs="Arial"/>
          <w:sz w:val="18"/>
        </w:rPr>
        <w:instrText xml:space="preserve"> SEQ Figure \* ARABIC </w:instrText>
      </w:r>
      <w:r w:rsidRPr="00B30A10">
        <w:rPr>
          <w:rFonts w:ascii="Arial" w:hAnsi="Arial" w:cs="Arial"/>
          <w:sz w:val="18"/>
        </w:rPr>
        <w:fldChar w:fldCharType="separate"/>
      </w:r>
      <w:r w:rsidR="002514E5">
        <w:rPr>
          <w:rFonts w:ascii="Arial" w:hAnsi="Arial" w:cs="Arial"/>
          <w:noProof/>
          <w:sz w:val="18"/>
        </w:rPr>
        <w:t>4</w:t>
      </w:r>
      <w:r w:rsidRPr="00B30A10">
        <w:rPr>
          <w:rFonts w:ascii="Arial" w:hAnsi="Arial" w:cs="Arial"/>
          <w:sz w:val="18"/>
        </w:rPr>
        <w:fldChar w:fldCharType="end"/>
      </w:r>
      <w:bookmarkEnd w:id="16"/>
      <w:r w:rsidRPr="00B30A10">
        <w:rPr>
          <w:rFonts w:ascii="Arial" w:hAnsi="Arial" w:cs="Arial"/>
          <w:sz w:val="18"/>
        </w:rPr>
        <w:t xml:space="preserve"> UE supports DL </w:t>
      </w:r>
      <w:r w:rsidRPr="00B30A10">
        <w:rPr>
          <w:rFonts w:ascii="Arial" w:eastAsiaTheme="minorEastAsia" w:hAnsi="Arial" w:cs="Arial"/>
          <w:iCs/>
          <w:sz w:val="18"/>
        </w:rPr>
        <w:t>DC_48A_(n)48AA</w:t>
      </w:r>
      <w:r w:rsidRPr="00B30A10">
        <w:rPr>
          <w:rFonts w:ascii="Arial" w:hAnsi="Arial" w:cs="Arial"/>
          <w:sz w:val="18"/>
        </w:rPr>
        <w:t>, DC_48A_n48A with</w:t>
      </w:r>
      <w:r w:rsidRPr="00B30A10">
        <w:rPr>
          <w:rFonts w:ascii="Arial" w:hAnsi="Arial" w:cs="Arial"/>
          <w:i/>
          <w:sz w:val="18"/>
        </w:rPr>
        <w:t xml:space="preserve"> ‘non-contiguous’ </w:t>
      </w:r>
      <w:r w:rsidRPr="00B30A10">
        <w:rPr>
          <w:rFonts w:ascii="Arial" w:hAnsi="Arial" w:cs="Arial"/>
          <w:sz w:val="18"/>
        </w:rPr>
        <w:t>indicated by</w:t>
      </w:r>
      <w:r w:rsidRPr="00B30A10">
        <w:rPr>
          <w:rFonts w:ascii="Arial" w:hAnsi="Arial" w:cs="Arial"/>
          <w:i/>
          <w:sz w:val="18"/>
        </w:rPr>
        <w:t xml:space="preserve"> </w:t>
      </w:r>
      <w:proofErr w:type="spellStart"/>
      <w:r w:rsidRPr="00B30A10">
        <w:rPr>
          <w:rFonts w:ascii="Arial" w:hAnsi="Arial" w:cs="Arial"/>
          <w:i/>
          <w:sz w:val="18"/>
        </w:rPr>
        <w:t>intraBandENDC</w:t>
      </w:r>
      <w:proofErr w:type="spellEnd"/>
      <w:r w:rsidRPr="00B30A10">
        <w:rPr>
          <w:rFonts w:ascii="Arial" w:hAnsi="Arial" w:cs="Arial"/>
          <w:i/>
          <w:sz w:val="18"/>
        </w:rPr>
        <w:t>-Support-UL</w:t>
      </w:r>
    </w:p>
    <w:p w14:paraId="59FC065C" w14:textId="77777777" w:rsidR="00AC2557" w:rsidRDefault="00AC2557" w:rsidP="00B30A10">
      <w:pPr>
        <w:pStyle w:val="af0"/>
        <w:snapToGrid w:val="0"/>
        <w:spacing w:after="0"/>
        <w:jc w:val="both"/>
        <w:rPr>
          <w:rFonts w:eastAsiaTheme="minorEastAsia"/>
          <w:iCs/>
          <w:sz w:val="20"/>
          <w:lang w:val="en-GB"/>
        </w:rPr>
      </w:pPr>
      <w:bookmarkStart w:id="17" w:name="_Ref134897598"/>
      <w:r>
        <w:rPr>
          <w:rFonts w:eastAsiaTheme="minorEastAsia"/>
          <w:iCs/>
          <w:sz w:val="20"/>
          <w:lang w:val="en-GB"/>
        </w:rPr>
        <w:t>In scenario#6, there are two pairs of UL/DL configuration for EN-DC band combination</w:t>
      </w:r>
      <w:r w:rsidRPr="00F13A03">
        <w:rPr>
          <w:rFonts w:eastAsiaTheme="minorEastAsia"/>
          <w:iCs/>
          <w:sz w:val="20"/>
          <w:lang w:val="en-GB"/>
        </w:rPr>
        <w:t xml:space="preserve"> DC_48A_(n)48AA</w:t>
      </w:r>
      <w:r>
        <w:rPr>
          <w:rFonts w:eastAsiaTheme="minorEastAsia"/>
          <w:iCs/>
          <w:sz w:val="20"/>
          <w:lang w:val="en-GB"/>
        </w:rPr>
        <w:t>.</w:t>
      </w:r>
    </w:p>
    <w:p w14:paraId="348CCC2B" w14:textId="77777777" w:rsidR="00AC2557" w:rsidRDefault="00AC2557" w:rsidP="00B30A10">
      <w:pPr>
        <w:widowControl/>
        <w:numPr>
          <w:ilvl w:val="0"/>
          <w:numId w:val="28"/>
        </w:numPr>
        <w:snapToGrid w:val="0"/>
        <w:spacing w:after="0"/>
        <w:ind w:left="153" w:hanging="153"/>
        <w:rPr>
          <w:rFonts w:eastAsia="Yu Mincho"/>
          <w:kern w:val="0"/>
          <w:sz w:val="20"/>
          <w:szCs w:val="20"/>
          <w:lang w:val="en-GB" w:eastAsia="x-none"/>
        </w:rPr>
      </w:pPr>
      <w:r w:rsidRPr="00CF59FF">
        <w:rPr>
          <w:rFonts w:eastAsia="Batang"/>
          <w:kern w:val="0"/>
          <w:sz w:val="20"/>
          <w:szCs w:val="20"/>
          <w:lang w:val="en-GB" w:eastAsia="x-none"/>
        </w:rPr>
        <w:t xml:space="preserve">Config#1: </w:t>
      </w:r>
      <w:r w:rsidRPr="00CF59FF">
        <w:rPr>
          <w:rFonts w:eastAsia="Yu Mincho"/>
          <w:kern w:val="0"/>
          <w:sz w:val="20"/>
          <w:szCs w:val="20"/>
          <w:lang w:val="en-GB" w:eastAsia="x-none"/>
        </w:rPr>
        <w:t>Contiguous/contiguous</w:t>
      </w:r>
      <w:r>
        <w:rPr>
          <w:rFonts w:eastAsia="Yu Mincho"/>
          <w:kern w:val="0"/>
          <w:sz w:val="20"/>
          <w:szCs w:val="20"/>
          <w:lang w:val="en-GB" w:eastAsia="x-none"/>
        </w:rPr>
        <w:t xml:space="preserve">       </w:t>
      </w:r>
      <w:r>
        <w:rPr>
          <w:sz w:val="20"/>
          <w:lang w:val="en-GB" w:eastAsia="en-US"/>
        </w:rPr>
        <w:t xml:space="preserve">DL </w:t>
      </w:r>
      <w:r w:rsidRPr="00F13A03">
        <w:rPr>
          <w:rFonts w:eastAsiaTheme="minorEastAsia"/>
          <w:iCs/>
          <w:sz w:val="20"/>
          <w:lang w:val="en-GB"/>
        </w:rPr>
        <w:t>DC_48A_(n)48AA</w:t>
      </w:r>
      <w:r>
        <w:rPr>
          <w:sz w:val="20"/>
          <w:lang w:val="en-GB" w:eastAsia="en-US"/>
        </w:rPr>
        <w:t>, UL DC_(n)48AA.</w:t>
      </w:r>
    </w:p>
    <w:p w14:paraId="188151CF" w14:textId="77777777" w:rsidR="00AC2557" w:rsidRPr="00F13A03" w:rsidRDefault="00AC2557" w:rsidP="00B30A10">
      <w:pPr>
        <w:widowControl/>
        <w:numPr>
          <w:ilvl w:val="0"/>
          <w:numId w:val="28"/>
        </w:numPr>
        <w:snapToGrid w:val="0"/>
        <w:ind w:left="153" w:hanging="153"/>
        <w:rPr>
          <w:rFonts w:eastAsia="Yu Mincho"/>
          <w:kern w:val="0"/>
          <w:sz w:val="20"/>
          <w:szCs w:val="20"/>
          <w:lang w:val="en-GB" w:eastAsia="x-none"/>
        </w:rPr>
      </w:pPr>
      <w:r w:rsidRPr="00F13A03">
        <w:rPr>
          <w:rFonts w:eastAsia="Yu Mincho"/>
          <w:kern w:val="0"/>
          <w:sz w:val="20"/>
          <w:szCs w:val="20"/>
          <w:lang w:val="en-GB" w:eastAsia="en-US"/>
        </w:rPr>
        <w:t>Config</w:t>
      </w:r>
      <w:r>
        <w:rPr>
          <w:rFonts w:eastAsia="Yu Mincho"/>
          <w:kern w:val="0"/>
          <w:sz w:val="20"/>
          <w:szCs w:val="20"/>
          <w:lang w:val="en-GB" w:eastAsia="en-US"/>
        </w:rPr>
        <w:t>#2: C</w:t>
      </w:r>
      <w:r w:rsidRPr="00F13A03">
        <w:rPr>
          <w:rFonts w:eastAsia="Yu Mincho"/>
          <w:kern w:val="0"/>
          <w:sz w:val="20"/>
          <w:szCs w:val="20"/>
          <w:lang w:val="en-GB" w:eastAsia="en-US"/>
        </w:rPr>
        <w:t xml:space="preserve">ontiguous/Non-contiguous   </w:t>
      </w:r>
      <w:r w:rsidRPr="00F13A03">
        <w:rPr>
          <w:sz w:val="20"/>
          <w:lang w:val="en-GB" w:eastAsia="en-US"/>
        </w:rPr>
        <w:t>DL DC_48A_(n)48AA, UL DC_48A_n48A</w:t>
      </w:r>
      <w:r>
        <w:rPr>
          <w:sz w:val="20"/>
          <w:lang w:val="en-GB" w:eastAsia="en-US"/>
        </w:rPr>
        <w:t>.</w:t>
      </w:r>
    </w:p>
    <w:p w14:paraId="342C30EA" w14:textId="585E7F17" w:rsidR="00AC2557" w:rsidRDefault="00AC2557" w:rsidP="00B30A10">
      <w:pPr>
        <w:pStyle w:val="af0"/>
        <w:snapToGrid w:val="0"/>
        <w:spacing w:before="120"/>
        <w:jc w:val="both"/>
        <w:rPr>
          <w:rFonts w:eastAsiaTheme="minorEastAsia"/>
          <w:iCs/>
          <w:sz w:val="20"/>
          <w:lang w:val="en-GB"/>
        </w:rPr>
      </w:pPr>
      <w:r>
        <w:rPr>
          <w:rFonts w:eastAsiaTheme="minorEastAsia"/>
          <w:iCs/>
          <w:sz w:val="20"/>
          <w:lang w:val="en-GB"/>
        </w:rPr>
        <w:t>For the config</w:t>
      </w:r>
      <w:r w:rsidR="0033563C">
        <w:rPr>
          <w:rFonts w:eastAsiaTheme="minorEastAsia"/>
          <w:iCs/>
          <w:sz w:val="20"/>
          <w:lang w:val="en-GB"/>
        </w:rPr>
        <w:t>uration</w:t>
      </w:r>
      <w:r>
        <w:rPr>
          <w:rFonts w:eastAsiaTheme="minorEastAsia"/>
          <w:iCs/>
          <w:sz w:val="20"/>
          <w:lang w:val="en-GB"/>
        </w:rPr>
        <w:t xml:space="preserve">#1 in </w:t>
      </w:r>
      <w:r w:rsidRPr="00F13A03">
        <w:rPr>
          <w:rFonts w:eastAsiaTheme="minorEastAsia"/>
          <w:iCs/>
          <w:sz w:val="20"/>
          <w:lang w:val="en-GB"/>
        </w:rPr>
        <w:t>DC_48A_(n)48AA</w:t>
      </w:r>
      <w:r>
        <w:rPr>
          <w:rFonts w:eastAsiaTheme="minorEastAsia"/>
          <w:iCs/>
          <w:sz w:val="20"/>
          <w:lang w:val="en-GB"/>
        </w:rPr>
        <w:t xml:space="preserve">, it can be covered by the legacy signalling </w:t>
      </w:r>
      <w:proofErr w:type="spellStart"/>
      <w:r w:rsidRPr="00B30A10">
        <w:rPr>
          <w:rFonts w:eastAsiaTheme="minorEastAsia"/>
          <w:i/>
          <w:iCs/>
          <w:sz w:val="20"/>
          <w:lang w:val="en-GB"/>
        </w:rPr>
        <w:t>intraBandENDC</w:t>
      </w:r>
      <w:proofErr w:type="spellEnd"/>
      <w:r w:rsidRPr="00B30A10">
        <w:rPr>
          <w:rFonts w:eastAsiaTheme="minorEastAsia"/>
          <w:i/>
          <w:iCs/>
          <w:sz w:val="20"/>
          <w:lang w:val="en-GB"/>
        </w:rPr>
        <w:t>-Support</w:t>
      </w:r>
      <w:r>
        <w:rPr>
          <w:rFonts w:eastAsiaTheme="minorEastAsia"/>
          <w:iCs/>
          <w:sz w:val="20"/>
          <w:lang w:val="en-GB"/>
        </w:rPr>
        <w:t xml:space="preserve"> given that the contiguity of UL and DL is consistent in contiguous same as scenario#1. </w:t>
      </w:r>
    </w:p>
    <w:p w14:paraId="53DE6B2F" w14:textId="6A3B1F5B" w:rsidR="00EC17AF" w:rsidRDefault="00EC17AF" w:rsidP="00B30A10">
      <w:pPr>
        <w:pStyle w:val="af7"/>
        <w:snapToGrid w:val="0"/>
        <w:jc w:val="both"/>
        <w:rPr>
          <w:i/>
        </w:rPr>
      </w:pPr>
      <w:bookmarkStart w:id="18" w:name="_Ref136528295"/>
      <w:r w:rsidRPr="004A641F">
        <w:rPr>
          <w:i/>
        </w:rPr>
        <w:t xml:space="preserve">Observation </w:t>
      </w:r>
      <w:r w:rsidRPr="004A641F">
        <w:rPr>
          <w:i/>
        </w:rPr>
        <w:fldChar w:fldCharType="begin"/>
      </w:r>
      <w:r w:rsidRPr="004A641F">
        <w:rPr>
          <w:i/>
        </w:rPr>
        <w:instrText xml:space="preserve"> SEQ Observation \* ARABIC </w:instrText>
      </w:r>
      <w:r w:rsidRPr="004A641F">
        <w:rPr>
          <w:i/>
        </w:rPr>
        <w:fldChar w:fldCharType="separate"/>
      </w:r>
      <w:r w:rsidR="002514E5">
        <w:rPr>
          <w:i/>
          <w:noProof/>
        </w:rPr>
        <w:t>5</w:t>
      </w:r>
      <w:r w:rsidRPr="004A641F">
        <w:rPr>
          <w:i/>
        </w:rPr>
        <w:fldChar w:fldCharType="end"/>
      </w:r>
      <w:r w:rsidRPr="004A641F">
        <w:rPr>
          <w:i/>
        </w:rPr>
        <w:t>:</w:t>
      </w:r>
      <w:r>
        <w:t xml:space="preserve"> </w:t>
      </w:r>
      <w:r w:rsidRPr="0068364C">
        <w:rPr>
          <w:i/>
        </w:rPr>
        <w:t xml:space="preserve">DL </w:t>
      </w:r>
      <w:r w:rsidRPr="0068364C">
        <w:rPr>
          <w:rFonts w:eastAsiaTheme="minorEastAsia"/>
          <w:i/>
          <w:iCs/>
        </w:rPr>
        <w:t>DC_48A_(n)48AA</w:t>
      </w:r>
      <w:r w:rsidRPr="0068364C">
        <w:rPr>
          <w:i/>
        </w:rPr>
        <w:t>, UL DC_(n)48AA is</w:t>
      </w:r>
      <w:r>
        <w:rPr>
          <w:i/>
        </w:rPr>
        <w:t xml:space="preserve"> a</w:t>
      </w:r>
      <w:r w:rsidRPr="0068364C">
        <w:rPr>
          <w:i/>
        </w:rPr>
        <w:t xml:space="preserve"> </w:t>
      </w:r>
      <w:r w:rsidRPr="00F200CA">
        <w:rPr>
          <w:i/>
          <w:u w:val="single"/>
        </w:rPr>
        <w:t>contiguous</w:t>
      </w:r>
      <w:r w:rsidRPr="0068364C">
        <w:rPr>
          <w:i/>
        </w:rPr>
        <w:t xml:space="preserve"> EN-DC configuration</w:t>
      </w:r>
      <w:r>
        <w:rPr>
          <w:i/>
        </w:rPr>
        <w:t xml:space="preserve"> according to RAN2 LS.</w:t>
      </w:r>
      <w:bookmarkEnd w:id="18"/>
      <w:r>
        <w:rPr>
          <w:i/>
        </w:rPr>
        <w:t xml:space="preserve"> </w:t>
      </w:r>
      <w:bookmarkEnd w:id="17"/>
    </w:p>
    <w:p w14:paraId="08708CC4" w14:textId="792ED506" w:rsidR="005970B0" w:rsidRPr="0068364C" w:rsidRDefault="005970B0" w:rsidP="00B30A10">
      <w:pPr>
        <w:pStyle w:val="af7"/>
        <w:snapToGrid w:val="0"/>
        <w:jc w:val="both"/>
        <w:rPr>
          <w:rFonts w:eastAsiaTheme="minorEastAsia"/>
          <w:i/>
          <w:iCs/>
        </w:rPr>
      </w:pPr>
      <w:bookmarkStart w:id="19" w:name="_Ref134897704"/>
      <w:r w:rsidRPr="0068364C">
        <w:rPr>
          <w:i/>
        </w:rPr>
        <w:t xml:space="preserve">Proposal </w:t>
      </w:r>
      <w:r w:rsidRPr="0068364C">
        <w:rPr>
          <w:i/>
        </w:rPr>
        <w:fldChar w:fldCharType="begin"/>
      </w:r>
      <w:r w:rsidRPr="0068364C">
        <w:rPr>
          <w:i/>
        </w:rPr>
        <w:instrText xml:space="preserve"> SEQ Proposal \* ARABIC </w:instrText>
      </w:r>
      <w:r w:rsidRPr="0068364C">
        <w:rPr>
          <w:i/>
        </w:rPr>
        <w:fldChar w:fldCharType="separate"/>
      </w:r>
      <w:r w:rsidR="002514E5">
        <w:rPr>
          <w:i/>
          <w:noProof/>
        </w:rPr>
        <w:t>2</w:t>
      </w:r>
      <w:r w:rsidRPr="0068364C">
        <w:rPr>
          <w:i/>
        </w:rPr>
        <w:fldChar w:fldCharType="end"/>
      </w:r>
      <w:r w:rsidRPr="0068364C">
        <w:rPr>
          <w:i/>
        </w:rPr>
        <w:t xml:space="preserve">: </w:t>
      </w:r>
      <w:r w:rsidR="00EC17AF">
        <w:rPr>
          <w:i/>
        </w:rPr>
        <w:t xml:space="preserve">The configuration of </w:t>
      </w:r>
      <w:r w:rsidR="0068364C" w:rsidRPr="0068364C">
        <w:rPr>
          <w:i/>
        </w:rPr>
        <w:t xml:space="preserve">DL </w:t>
      </w:r>
      <w:r w:rsidR="0068364C" w:rsidRPr="0068364C">
        <w:rPr>
          <w:rFonts w:eastAsiaTheme="minorEastAsia"/>
          <w:i/>
          <w:iCs/>
        </w:rPr>
        <w:t>DC_48A_(n)48AA</w:t>
      </w:r>
      <w:r w:rsidR="0068364C" w:rsidRPr="0068364C">
        <w:rPr>
          <w:i/>
        </w:rPr>
        <w:t xml:space="preserve">, UL DC_(n)48AA </w:t>
      </w:r>
      <w:r w:rsidR="00EC17AF">
        <w:rPr>
          <w:i/>
        </w:rPr>
        <w:t>should be moved to the tables defined for</w:t>
      </w:r>
      <w:r w:rsidR="0068364C" w:rsidRPr="0068364C">
        <w:rPr>
          <w:i/>
        </w:rPr>
        <w:t xml:space="preserve"> i</w:t>
      </w:r>
      <w:r w:rsidRPr="0068364C">
        <w:rPr>
          <w:i/>
        </w:rPr>
        <w:t xml:space="preserve">ntra-band contiguous EN-DC </w:t>
      </w:r>
      <w:r w:rsidR="0068364C" w:rsidRPr="0068364C">
        <w:rPr>
          <w:i/>
        </w:rPr>
        <w:t>configuration</w:t>
      </w:r>
      <w:r w:rsidR="00EC17AF">
        <w:rPr>
          <w:i/>
        </w:rPr>
        <w:t xml:space="preserve"> </w:t>
      </w:r>
      <w:r w:rsidR="00EC17AF" w:rsidRPr="00EC17AF">
        <w:rPr>
          <w:i/>
        </w:rPr>
        <w:t>Table 5.3B.1.2-1</w:t>
      </w:r>
      <w:r w:rsidR="00EC17AF">
        <w:rPr>
          <w:i/>
        </w:rPr>
        <w:t xml:space="preserve"> </w:t>
      </w:r>
      <w:r w:rsidR="008663A1">
        <w:rPr>
          <w:i/>
        </w:rPr>
        <w:t xml:space="preserve">and </w:t>
      </w:r>
      <w:r w:rsidR="008663A1" w:rsidRPr="008663A1">
        <w:rPr>
          <w:i/>
        </w:rPr>
        <w:t>Table 5.5B.2-1</w:t>
      </w:r>
      <w:r w:rsidR="008663A1">
        <w:rPr>
          <w:i/>
        </w:rPr>
        <w:t xml:space="preserve"> in 38.101-3</w:t>
      </w:r>
      <w:r w:rsidR="0068364C" w:rsidRPr="0068364C">
        <w:rPr>
          <w:i/>
        </w:rPr>
        <w:t>.</w:t>
      </w:r>
      <w:bookmarkEnd w:id="14"/>
      <w:bookmarkEnd w:id="19"/>
    </w:p>
    <w:p w14:paraId="6AD02F57" w14:textId="778A388C" w:rsidR="008C6C67" w:rsidRPr="008C6C67" w:rsidRDefault="00F13A03" w:rsidP="00B30A10">
      <w:pPr>
        <w:pStyle w:val="af0"/>
        <w:snapToGrid w:val="0"/>
        <w:spacing w:before="240"/>
        <w:jc w:val="both"/>
        <w:rPr>
          <w:rFonts w:eastAsiaTheme="minorEastAsia"/>
          <w:iCs/>
          <w:sz w:val="20"/>
          <w:lang w:val="en-GB"/>
        </w:rPr>
      </w:pPr>
      <w:r>
        <w:rPr>
          <w:rFonts w:eastAsiaTheme="minorEastAsia"/>
          <w:iCs/>
          <w:sz w:val="20"/>
          <w:lang w:val="en-GB"/>
        </w:rPr>
        <w:t xml:space="preserve">For the configuration#2, </w:t>
      </w:r>
      <w:r w:rsidR="00C04DD1">
        <w:rPr>
          <w:rFonts w:eastAsiaTheme="minorEastAsia"/>
          <w:iCs/>
          <w:sz w:val="20"/>
          <w:lang w:val="en-GB"/>
        </w:rPr>
        <w:t xml:space="preserve">the contiguity </w:t>
      </w:r>
      <w:r w:rsidR="000746DA">
        <w:rPr>
          <w:rFonts w:eastAsiaTheme="minorEastAsia"/>
          <w:iCs/>
          <w:sz w:val="20"/>
          <w:lang w:val="en-GB"/>
        </w:rPr>
        <w:t xml:space="preserve">for </w:t>
      </w:r>
      <w:r w:rsidR="00C04DD1">
        <w:rPr>
          <w:rFonts w:eastAsiaTheme="minorEastAsia"/>
          <w:iCs/>
          <w:sz w:val="20"/>
          <w:lang w:val="en-GB"/>
        </w:rPr>
        <w:t>UL and DL is same as that in Case 3, so is the signalling indication</w:t>
      </w:r>
      <w:r w:rsidR="00361A27">
        <w:rPr>
          <w:rFonts w:eastAsiaTheme="minorEastAsia"/>
          <w:iCs/>
          <w:sz w:val="20"/>
          <w:lang w:val="en-GB"/>
        </w:rPr>
        <w:t xml:space="preserve"> in</w:t>
      </w:r>
      <w:r w:rsidR="000746DA">
        <w:rPr>
          <w:rFonts w:eastAsiaTheme="minorEastAsia"/>
          <w:iCs/>
          <w:sz w:val="20"/>
          <w:lang w:val="en-GB"/>
        </w:rPr>
        <w:t xml:space="preserve"> scenario#2</w:t>
      </w:r>
      <w:r w:rsidR="00C04DD1">
        <w:rPr>
          <w:rFonts w:eastAsiaTheme="minorEastAsia"/>
          <w:iCs/>
          <w:sz w:val="20"/>
          <w:lang w:val="en-GB"/>
        </w:rPr>
        <w:t xml:space="preserve">. </w:t>
      </w:r>
      <w:r w:rsidR="00443246">
        <w:rPr>
          <w:rFonts w:eastAsiaTheme="minorEastAsia"/>
          <w:iCs/>
          <w:sz w:val="20"/>
          <w:lang w:val="en-GB"/>
        </w:rPr>
        <w:t xml:space="preserve">For </w:t>
      </w:r>
      <w:r w:rsidR="000746DA" w:rsidRPr="000746DA">
        <w:rPr>
          <w:rFonts w:eastAsiaTheme="minorEastAsia"/>
          <w:iCs/>
          <w:sz w:val="20"/>
          <w:lang w:val="en-GB"/>
        </w:rPr>
        <w:t xml:space="preserve">the UE supports </w:t>
      </w:r>
      <w:r w:rsidR="000746DA">
        <w:rPr>
          <w:rFonts w:eastAsiaTheme="minorEastAsia"/>
          <w:iCs/>
          <w:sz w:val="20"/>
          <w:lang w:val="en-GB"/>
        </w:rPr>
        <w:t>DL DC_48A_(n)48AA, UL DC_</w:t>
      </w:r>
      <w:r w:rsidR="000746DA" w:rsidRPr="000746DA">
        <w:rPr>
          <w:rFonts w:eastAsiaTheme="minorEastAsia"/>
          <w:iCs/>
          <w:sz w:val="20"/>
          <w:lang w:val="en-GB"/>
        </w:rPr>
        <w:t>48A</w:t>
      </w:r>
      <w:r w:rsidR="000746DA">
        <w:rPr>
          <w:rFonts w:eastAsiaTheme="minorEastAsia"/>
          <w:iCs/>
          <w:sz w:val="20"/>
          <w:lang w:val="en-GB"/>
        </w:rPr>
        <w:t>_n48</w:t>
      </w:r>
      <w:r w:rsidR="000746DA" w:rsidRPr="000746DA">
        <w:rPr>
          <w:rFonts w:eastAsiaTheme="minorEastAsia"/>
          <w:iCs/>
          <w:sz w:val="20"/>
          <w:lang w:val="en-GB"/>
        </w:rPr>
        <w:t>A, it should additionally support DC_48A_n48A at least for DL configuration in RAN4 specification, to implement the special intra-band EN-DC configuration for CBRS band.</w:t>
      </w:r>
    </w:p>
    <w:p w14:paraId="657C4A31" w14:textId="0CA85144" w:rsidR="00443246" w:rsidRDefault="004556A4" w:rsidP="00B30A10">
      <w:pPr>
        <w:pStyle w:val="af7"/>
        <w:snapToGrid w:val="0"/>
        <w:jc w:val="both"/>
        <w:rPr>
          <w:i/>
        </w:rPr>
      </w:pPr>
      <w:bookmarkStart w:id="20" w:name="_Ref136528317"/>
      <w:bookmarkStart w:id="21" w:name="_Ref134626673"/>
      <w:r w:rsidRPr="00F72A4B">
        <w:rPr>
          <w:i/>
        </w:rPr>
        <w:t xml:space="preserve">Proposal </w:t>
      </w:r>
      <w:r w:rsidRPr="00F72A4B">
        <w:rPr>
          <w:i/>
        </w:rPr>
        <w:fldChar w:fldCharType="begin"/>
      </w:r>
      <w:r w:rsidRPr="00F72A4B">
        <w:rPr>
          <w:i/>
        </w:rPr>
        <w:instrText xml:space="preserve"> SEQ Proposal \* ARABIC </w:instrText>
      </w:r>
      <w:r w:rsidRPr="00F72A4B">
        <w:rPr>
          <w:i/>
        </w:rPr>
        <w:fldChar w:fldCharType="separate"/>
      </w:r>
      <w:r w:rsidR="002514E5">
        <w:rPr>
          <w:i/>
          <w:noProof/>
        </w:rPr>
        <w:t>3</w:t>
      </w:r>
      <w:r w:rsidRPr="00F72A4B">
        <w:rPr>
          <w:i/>
        </w:rPr>
        <w:fldChar w:fldCharType="end"/>
      </w:r>
      <w:r w:rsidRPr="00F72A4B">
        <w:rPr>
          <w:i/>
        </w:rPr>
        <w:t xml:space="preserve">: For the UE supports </w:t>
      </w:r>
      <w:r w:rsidRPr="00443246">
        <w:rPr>
          <w:rFonts w:eastAsiaTheme="minorEastAsia"/>
          <w:i/>
          <w:iCs/>
        </w:rPr>
        <w:t>DL DC_48A_(n)48AA, UL DC_48A_n48A</w:t>
      </w:r>
      <w:r w:rsidRPr="00F72A4B">
        <w:rPr>
          <w:i/>
        </w:rPr>
        <w:t>, it should additionally support DC_48A_n48A at least for DL configuration</w:t>
      </w:r>
      <w:r>
        <w:rPr>
          <w:i/>
        </w:rPr>
        <w:t xml:space="preserve"> in RAN4 specification, to implement</w:t>
      </w:r>
      <w:r w:rsidRPr="003E6B17">
        <w:t xml:space="preserve"> </w:t>
      </w:r>
      <w:r w:rsidRPr="003E6B17">
        <w:rPr>
          <w:i/>
        </w:rPr>
        <w:t>the special intra-band EN-DC configuration for CBRS band</w:t>
      </w:r>
      <w:r w:rsidRPr="00F72A4B">
        <w:rPr>
          <w:i/>
        </w:rPr>
        <w:t>.</w:t>
      </w:r>
      <w:bookmarkStart w:id="22" w:name="_Ref136533439"/>
      <w:bookmarkEnd w:id="20"/>
      <w:bookmarkEnd w:id="21"/>
    </w:p>
    <w:p w14:paraId="44DFDB05" w14:textId="304261AA" w:rsidR="002078C7" w:rsidRPr="00F200CA" w:rsidRDefault="00633B32" w:rsidP="00B30A10">
      <w:pPr>
        <w:pStyle w:val="af7"/>
        <w:snapToGrid w:val="0"/>
        <w:jc w:val="both"/>
        <w:rPr>
          <w:i/>
        </w:rPr>
      </w:pPr>
      <w:bookmarkStart w:id="23" w:name="_Ref136878294"/>
      <w:r w:rsidRPr="00443246">
        <w:rPr>
          <w:i/>
        </w:rPr>
        <w:t xml:space="preserve">Proposal </w:t>
      </w:r>
      <w:r w:rsidRPr="00443246">
        <w:rPr>
          <w:i/>
        </w:rPr>
        <w:fldChar w:fldCharType="begin"/>
      </w:r>
      <w:r w:rsidRPr="00443246">
        <w:rPr>
          <w:i/>
        </w:rPr>
        <w:instrText xml:space="preserve"> SEQ Proposal \* ARABIC </w:instrText>
      </w:r>
      <w:r w:rsidRPr="00443246">
        <w:rPr>
          <w:i/>
        </w:rPr>
        <w:fldChar w:fldCharType="separate"/>
      </w:r>
      <w:r w:rsidR="002514E5">
        <w:rPr>
          <w:i/>
          <w:noProof/>
        </w:rPr>
        <w:t>4</w:t>
      </w:r>
      <w:r w:rsidRPr="00443246">
        <w:rPr>
          <w:i/>
        </w:rPr>
        <w:fldChar w:fldCharType="end"/>
      </w:r>
      <w:r w:rsidRPr="00443246">
        <w:rPr>
          <w:i/>
        </w:rPr>
        <w:t xml:space="preserve">: </w:t>
      </w:r>
      <w:r w:rsidR="0033563C">
        <w:rPr>
          <w:i/>
        </w:rPr>
        <w:t>A</w:t>
      </w:r>
      <w:r w:rsidR="00EB182B" w:rsidRPr="00443246">
        <w:rPr>
          <w:i/>
        </w:rPr>
        <w:t>gree the CR</w:t>
      </w:r>
      <w:r w:rsidR="0033563C">
        <w:rPr>
          <w:i/>
        </w:rPr>
        <w:t>s</w:t>
      </w:r>
      <w:r w:rsidR="00EB182B" w:rsidRPr="00443246">
        <w:rPr>
          <w:i/>
        </w:rPr>
        <w:t xml:space="preserve"> </w:t>
      </w:r>
      <w:r>
        <w:rPr>
          <w:i/>
        </w:rPr>
        <w:t xml:space="preserve">to TS38.101-3 </w:t>
      </w:r>
      <w:r w:rsidR="00EB182B" w:rsidRPr="00443246">
        <w:rPr>
          <w:i/>
        </w:rPr>
        <w:t>in [</w:t>
      </w:r>
      <w:proofErr w:type="gramStart"/>
      <w:r w:rsidR="00443246">
        <w:rPr>
          <w:i/>
        </w:rPr>
        <w:t>12</w:t>
      </w:r>
      <w:r w:rsidR="00EB182B" w:rsidRPr="00443246">
        <w:rPr>
          <w:i/>
        </w:rPr>
        <w:t>][</w:t>
      </w:r>
      <w:proofErr w:type="gramEnd"/>
      <w:r w:rsidR="00443246">
        <w:rPr>
          <w:i/>
        </w:rPr>
        <w:t>13</w:t>
      </w:r>
      <w:r w:rsidR="00EB182B" w:rsidRPr="00443246">
        <w:rPr>
          <w:i/>
        </w:rPr>
        <w:t>][</w:t>
      </w:r>
      <w:r w:rsidR="00443246">
        <w:rPr>
          <w:i/>
        </w:rPr>
        <w:t>14</w:t>
      </w:r>
      <w:r w:rsidR="00EB182B" w:rsidRPr="00443246">
        <w:rPr>
          <w:i/>
        </w:rPr>
        <w:t>]</w:t>
      </w:r>
      <w:r w:rsidR="00E30125">
        <w:rPr>
          <w:i/>
        </w:rPr>
        <w:t xml:space="preserve"> to align the same understanding of </w:t>
      </w:r>
      <w:proofErr w:type="spellStart"/>
      <w:r w:rsidR="00E30125" w:rsidRPr="00443246">
        <w:rPr>
          <w:i/>
        </w:rPr>
        <w:t>intraBandENDC</w:t>
      </w:r>
      <w:proofErr w:type="spellEnd"/>
      <w:r w:rsidR="00E30125" w:rsidRPr="00443246">
        <w:rPr>
          <w:i/>
        </w:rPr>
        <w:t>-Support</w:t>
      </w:r>
      <w:r w:rsidR="00E30125">
        <w:rPr>
          <w:i/>
        </w:rPr>
        <w:t xml:space="preserve"> signalling between RAN4 and RAN2 specifications</w:t>
      </w:r>
      <w:r w:rsidR="00EB182B" w:rsidRPr="00443246">
        <w:rPr>
          <w:i/>
        </w:rPr>
        <w:t>.</w:t>
      </w:r>
      <w:bookmarkEnd w:id="22"/>
      <w:bookmarkEnd w:id="23"/>
    </w:p>
    <w:p w14:paraId="271EB806" w14:textId="77777777" w:rsidR="000C74C9" w:rsidRPr="000C74C9" w:rsidRDefault="000C74C9" w:rsidP="002D6C0A">
      <w:pPr>
        <w:keepNext/>
        <w:keepLines/>
        <w:widowControl/>
        <w:pBdr>
          <w:top w:val="single" w:sz="12" w:space="1" w:color="auto"/>
        </w:pBdr>
        <w:tabs>
          <w:tab w:val="left" w:pos="567"/>
        </w:tabs>
        <w:adjustRightInd w:val="0"/>
        <w:spacing w:before="12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410AFAF1" w14:textId="000A4B30" w:rsidR="00BD2DF0" w:rsidRPr="00443246" w:rsidRDefault="00C33ADE" w:rsidP="00344914">
      <w:pPr>
        <w:snapToGrid w:val="0"/>
        <w:spacing w:after="60"/>
        <w:rPr>
          <w:b/>
          <w:i/>
          <w:sz w:val="20"/>
          <w:szCs w:val="20"/>
        </w:rPr>
      </w:pPr>
      <w:r>
        <w:rPr>
          <w:kern w:val="0"/>
          <w:sz w:val="22"/>
          <w:szCs w:val="20"/>
          <w:lang w:val="en-GB" w:eastAsia="ja-JP"/>
        </w:rPr>
        <w:t xml:space="preserve">This contribution presents </w:t>
      </w:r>
      <w:r w:rsidR="00FA723F" w:rsidRPr="00C33ADE">
        <w:rPr>
          <w:sz w:val="22"/>
          <w:szCs w:val="20"/>
        </w:rPr>
        <w:t xml:space="preserve">the </w:t>
      </w:r>
      <w:r w:rsidR="000C74C9" w:rsidRPr="00C33ADE">
        <w:rPr>
          <w:sz w:val="22"/>
          <w:szCs w:val="20"/>
        </w:rPr>
        <w:t xml:space="preserve">following </w:t>
      </w:r>
      <w:r w:rsidR="00133A12">
        <w:rPr>
          <w:sz w:val="22"/>
          <w:szCs w:val="20"/>
        </w:rPr>
        <w:t xml:space="preserve">observations and </w:t>
      </w:r>
      <w:r w:rsidR="000C74C9" w:rsidRPr="00C33ADE">
        <w:rPr>
          <w:sz w:val="22"/>
          <w:szCs w:val="20"/>
        </w:rPr>
        <w:t>proposals:</w:t>
      </w:r>
      <w:r w:rsidR="00BD2DF0" w:rsidRPr="004A641F">
        <w:rPr>
          <w:b/>
          <w:sz w:val="20"/>
          <w:szCs w:val="20"/>
        </w:rPr>
        <w:t xml:space="preserve"> </w:t>
      </w:r>
    </w:p>
    <w:p w14:paraId="62EA527D" w14:textId="37ABF23F" w:rsidR="00633B32" w:rsidRPr="00F200CA" w:rsidRDefault="00633B32">
      <w:pPr>
        <w:snapToGrid w:val="0"/>
        <w:rPr>
          <w:b/>
          <w:i/>
          <w:sz w:val="20"/>
          <w:szCs w:val="20"/>
        </w:rPr>
      </w:pPr>
      <w:r w:rsidRPr="00F200CA">
        <w:rPr>
          <w:b/>
          <w:i/>
          <w:sz w:val="20"/>
          <w:szCs w:val="20"/>
        </w:rPr>
        <w:fldChar w:fldCharType="begin"/>
      </w:r>
      <w:r w:rsidRPr="00F200CA">
        <w:rPr>
          <w:b/>
          <w:i/>
          <w:sz w:val="20"/>
          <w:szCs w:val="20"/>
        </w:rPr>
        <w:instrText xml:space="preserve"> REF _Ref136533291 \h  \* MERGEFORMAT </w:instrText>
      </w:r>
      <w:r w:rsidRPr="00F200CA">
        <w:rPr>
          <w:b/>
          <w:i/>
          <w:sz w:val="20"/>
          <w:szCs w:val="20"/>
        </w:rPr>
      </w:r>
      <w:r w:rsidRPr="00F200CA">
        <w:rPr>
          <w:b/>
          <w:i/>
          <w:sz w:val="20"/>
          <w:szCs w:val="20"/>
        </w:rPr>
        <w:fldChar w:fldCharType="separate"/>
      </w:r>
      <w:r w:rsidR="002514E5" w:rsidRPr="001A6BB5">
        <w:rPr>
          <w:b/>
          <w:i/>
          <w:sz w:val="20"/>
          <w:szCs w:val="20"/>
        </w:rPr>
        <w:t xml:space="preserve">Observation </w:t>
      </w:r>
      <w:r w:rsidR="002514E5" w:rsidRPr="001A6BB5">
        <w:rPr>
          <w:b/>
          <w:i/>
          <w:noProof/>
          <w:sz w:val="20"/>
          <w:szCs w:val="20"/>
        </w:rPr>
        <w:t>1</w:t>
      </w:r>
      <w:r w:rsidR="002514E5" w:rsidRPr="001A6BB5">
        <w:rPr>
          <w:b/>
          <w:i/>
          <w:sz w:val="20"/>
          <w:szCs w:val="20"/>
        </w:rPr>
        <w:t xml:space="preserve">: UE reports ‘both’ by </w:t>
      </w:r>
      <w:proofErr w:type="spellStart"/>
      <w:r w:rsidR="002514E5" w:rsidRPr="001A6BB5">
        <w:rPr>
          <w:b/>
          <w:i/>
          <w:sz w:val="20"/>
          <w:szCs w:val="20"/>
        </w:rPr>
        <w:t>intraBandENDC</w:t>
      </w:r>
      <w:proofErr w:type="spellEnd"/>
      <w:r w:rsidR="002514E5" w:rsidRPr="001A6BB5">
        <w:rPr>
          <w:b/>
          <w:i/>
          <w:sz w:val="20"/>
          <w:szCs w:val="20"/>
        </w:rPr>
        <w:t>-Support to indicate the support for both contiguous and non-contiguous intra-band EN-DC for the same band entries. Extension of the meaning on ‘both’ is not backward compatible or future-proof in RAN2.</w:t>
      </w:r>
      <w:r w:rsidRPr="00F200CA">
        <w:rPr>
          <w:b/>
          <w:i/>
          <w:sz w:val="20"/>
          <w:szCs w:val="20"/>
        </w:rPr>
        <w:fldChar w:fldCharType="end"/>
      </w:r>
    </w:p>
    <w:p w14:paraId="0ABB95B9" w14:textId="7B509094" w:rsidR="00A16B4B" w:rsidRPr="00F200CA" w:rsidRDefault="00A16B4B">
      <w:pPr>
        <w:snapToGrid w:val="0"/>
        <w:spacing w:after="0"/>
        <w:rPr>
          <w:b/>
          <w:i/>
          <w:sz w:val="20"/>
          <w:szCs w:val="20"/>
        </w:rPr>
      </w:pPr>
      <w:r w:rsidRPr="00F200CA">
        <w:rPr>
          <w:b/>
          <w:i/>
          <w:sz w:val="20"/>
          <w:szCs w:val="20"/>
        </w:rPr>
        <w:fldChar w:fldCharType="begin"/>
      </w:r>
      <w:r w:rsidRPr="00F200CA">
        <w:rPr>
          <w:b/>
          <w:i/>
          <w:sz w:val="20"/>
          <w:szCs w:val="20"/>
        </w:rPr>
        <w:instrText xml:space="preserve"> REF _Ref136528209 \h </w:instrText>
      </w:r>
      <w:r w:rsidRPr="00443246">
        <w:rPr>
          <w:b/>
          <w:i/>
          <w:sz w:val="20"/>
          <w:szCs w:val="20"/>
        </w:rPr>
        <w:instrText xml:space="preserve"> \* MERGEFORMAT </w:instrText>
      </w:r>
      <w:r w:rsidRPr="00F200CA">
        <w:rPr>
          <w:b/>
          <w:i/>
          <w:sz w:val="20"/>
          <w:szCs w:val="20"/>
        </w:rPr>
      </w:r>
      <w:r w:rsidRPr="00F200CA">
        <w:rPr>
          <w:b/>
          <w:i/>
          <w:sz w:val="20"/>
          <w:szCs w:val="20"/>
        </w:rPr>
        <w:fldChar w:fldCharType="separate"/>
      </w:r>
      <w:r w:rsidR="002514E5" w:rsidRPr="001A6BB5">
        <w:rPr>
          <w:b/>
          <w:i/>
          <w:sz w:val="20"/>
          <w:szCs w:val="20"/>
        </w:rPr>
        <w:t xml:space="preserve">Observation </w:t>
      </w:r>
      <w:r w:rsidR="002514E5" w:rsidRPr="001A6BB5">
        <w:rPr>
          <w:b/>
          <w:i/>
          <w:noProof/>
          <w:sz w:val="20"/>
          <w:szCs w:val="20"/>
        </w:rPr>
        <w:t>2</w:t>
      </w:r>
      <w:r w:rsidR="002514E5" w:rsidRPr="001A6BB5">
        <w:rPr>
          <w:b/>
          <w:i/>
          <w:sz w:val="20"/>
          <w:szCs w:val="20"/>
        </w:rPr>
        <w:t xml:space="preserve">: In RAN2’s understanding, if the UE reports ‘both’ with </w:t>
      </w:r>
      <w:proofErr w:type="spellStart"/>
      <w:r w:rsidR="002514E5" w:rsidRPr="001A6BB5">
        <w:rPr>
          <w:b/>
          <w:i/>
          <w:sz w:val="20"/>
          <w:szCs w:val="20"/>
        </w:rPr>
        <w:t>intraBandENDC</w:t>
      </w:r>
      <w:proofErr w:type="spellEnd"/>
      <w:r w:rsidR="002514E5" w:rsidRPr="001A6BB5">
        <w:rPr>
          <w:b/>
          <w:i/>
          <w:sz w:val="20"/>
          <w:szCs w:val="20"/>
        </w:rPr>
        <w:t>-Support for 48C+n48A, it supports</w:t>
      </w:r>
      <w:r w:rsidRPr="00F200CA">
        <w:rPr>
          <w:b/>
          <w:i/>
          <w:sz w:val="20"/>
          <w:szCs w:val="20"/>
        </w:rPr>
        <w:fldChar w:fldCharType="end"/>
      </w:r>
    </w:p>
    <w:p w14:paraId="089C3F2C" w14:textId="77777777" w:rsidR="00A16B4B" w:rsidRPr="00F200CA" w:rsidRDefault="00A16B4B" w:rsidP="00B30A10">
      <w:pPr>
        <w:pStyle w:val="af7"/>
        <w:numPr>
          <w:ilvl w:val="0"/>
          <w:numId w:val="30"/>
        </w:numPr>
        <w:snapToGrid w:val="0"/>
        <w:spacing w:before="0" w:after="0"/>
        <w:jc w:val="both"/>
        <w:rPr>
          <w:i/>
        </w:rPr>
      </w:pPr>
      <w:r w:rsidRPr="00F200CA">
        <w:rPr>
          <w:i/>
        </w:rPr>
        <w:t xml:space="preserve">Config#1: DL DC_(n)48CA, UL DC_(n)48AA, and </w:t>
      </w:r>
    </w:p>
    <w:p w14:paraId="6D303580" w14:textId="77777777" w:rsidR="00A16B4B" w:rsidRPr="00F200CA" w:rsidRDefault="00A16B4B" w:rsidP="00B30A10">
      <w:pPr>
        <w:pStyle w:val="af7"/>
        <w:numPr>
          <w:ilvl w:val="0"/>
          <w:numId w:val="30"/>
        </w:numPr>
        <w:snapToGrid w:val="0"/>
        <w:spacing w:before="0" w:after="0"/>
        <w:jc w:val="both"/>
        <w:rPr>
          <w:i/>
        </w:rPr>
      </w:pPr>
      <w:r w:rsidRPr="00F200CA">
        <w:rPr>
          <w:i/>
        </w:rPr>
        <w:t>Config#2: DL DC_48C_n48A, UL DC_48A_n48A.</w:t>
      </w:r>
    </w:p>
    <w:p w14:paraId="5EFE6827" w14:textId="6D816A61" w:rsidR="00A16B4B" w:rsidRPr="00F200CA" w:rsidRDefault="00A16B4B" w:rsidP="00344914">
      <w:pPr>
        <w:snapToGrid w:val="0"/>
        <w:rPr>
          <w:b/>
          <w:i/>
          <w:sz w:val="20"/>
          <w:szCs w:val="20"/>
        </w:rPr>
      </w:pPr>
      <w:r w:rsidRPr="00F200CA">
        <w:rPr>
          <w:b/>
          <w:i/>
          <w:sz w:val="20"/>
          <w:szCs w:val="20"/>
        </w:rPr>
        <w:t>And the network would not configure DL in Config#1 and UL in Config#2 as a pair to the UE.</w:t>
      </w:r>
    </w:p>
    <w:p w14:paraId="395B3DA0" w14:textId="14B0800B" w:rsidR="00633B32" w:rsidRDefault="00633B32">
      <w:pPr>
        <w:snapToGrid w:val="0"/>
        <w:rPr>
          <w:b/>
          <w:i/>
          <w:sz w:val="20"/>
          <w:szCs w:val="20"/>
        </w:rPr>
      </w:pPr>
      <w:r w:rsidRPr="00F200CA">
        <w:rPr>
          <w:b/>
          <w:i/>
          <w:sz w:val="20"/>
          <w:szCs w:val="20"/>
        </w:rPr>
        <w:fldChar w:fldCharType="begin"/>
      </w:r>
      <w:r w:rsidRPr="00F200CA">
        <w:rPr>
          <w:b/>
          <w:i/>
          <w:sz w:val="20"/>
          <w:szCs w:val="20"/>
        </w:rPr>
        <w:instrText xml:space="preserve"> REF _Ref136533349 \h </w:instrText>
      </w:r>
      <w:r w:rsidRPr="00443246">
        <w:rPr>
          <w:b/>
          <w:i/>
          <w:sz w:val="20"/>
          <w:szCs w:val="20"/>
        </w:rPr>
        <w:instrText xml:space="preserve"> \* MERGEFORMAT </w:instrText>
      </w:r>
      <w:r w:rsidRPr="00F200CA">
        <w:rPr>
          <w:b/>
          <w:i/>
          <w:sz w:val="20"/>
          <w:szCs w:val="20"/>
        </w:rPr>
      </w:r>
      <w:r w:rsidRPr="00F200CA">
        <w:rPr>
          <w:b/>
          <w:i/>
          <w:sz w:val="20"/>
          <w:szCs w:val="20"/>
        </w:rPr>
        <w:fldChar w:fldCharType="separate"/>
      </w:r>
      <w:r w:rsidR="002514E5" w:rsidRPr="001A6BB5">
        <w:rPr>
          <w:b/>
          <w:i/>
          <w:sz w:val="20"/>
          <w:szCs w:val="20"/>
        </w:rPr>
        <w:t xml:space="preserve">Observation </w:t>
      </w:r>
      <w:r w:rsidR="002514E5" w:rsidRPr="001A6BB5">
        <w:rPr>
          <w:b/>
          <w:i/>
          <w:noProof/>
          <w:sz w:val="20"/>
          <w:szCs w:val="20"/>
        </w:rPr>
        <w:t>3</w:t>
      </w:r>
      <w:r w:rsidR="002514E5" w:rsidRPr="001A6BB5">
        <w:rPr>
          <w:b/>
          <w:i/>
          <w:sz w:val="20"/>
          <w:szCs w:val="20"/>
        </w:rPr>
        <w:t xml:space="preserve">: Existing IE is not applicable to support DL DC_(n)48CA, UL DC_48A_n48A, since the network would not configure DL in config#1 and UL in config#2 in Observation </w:t>
      </w:r>
      <w:r w:rsidR="002514E5" w:rsidRPr="001A6BB5">
        <w:rPr>
          <w:b/>
          <w:i/>
          <w:noProof/>
          <w:sz w:val="20"/>
          <w:szCs w:val="20"/>
        </w:rPr>
        <w:t>2.</w:t>
      </w:r>
      <w:r w:rsidRPr="00F200CA">
        <w:rPr>
          <w:b/>
          <w:i/>
          <w:sz w:val="20"/>
          <w:szCs w:val="20"/>
        </w:rPr>
        <w:fldChar w:fldCharType="end"/>
      </w:r>
    </w:p>
    <w:p w14:paraId="50651661" w14:textId="20F0EE40" w:rsidR="002514E5" w:rsidRPr="001A6BB5" w:rsidRDefault="002514E5">
      <w:pPr>
        <w:snapToGrid w:val="0"/>
        <w:rPr>
          <w:b/>
          <w:i/>
          <w:sz w:val="20"/>
          <w:szCs w:val="20"/>
        </w:rPr>
      </w:pPr>
      <w:r w:rsidRPr="001A6BB5">
        <w:rPr>
          <w:b/>
          <w:i/>
          <w:sz w:val="20"/>
          <w:szCs w:val="20"/>
        </w:rPr>
        <w:fldChar w:fldCharType="begin"/>
      </w:r>
      <w:r w:rsidRPr="001A6BB5">
        <w:rPr>
          <w:b/>
          <w:i/>
          <w:sz w:val="20"/>
          <w:szCs w:val="20"/>
        </w:rPr>
        <w:instrText xml:space="preserve"> REF _Ref136878251 \h  \* MERGEFORMAT </w:instrText>
      </w:r>
      <w:r w:rsidRPr="001A6BB5">
        <w:rPr>
          <w:b/>
          <w:i/>
          <w:sz w:val="20"/>
          <w:szCs w:val="20"/>
        </w:rPr>
      </w:r>
      <w:r w:rsidRPr="001A6BB5">
        <w:rPr>
          <w:b/>
          <w:i/>
          <w:sz w:val="20"/>
          <w:szCs w:val="20"/>
        </w:rPr>
        <w:fldChar w:fldCharType="separate"/>
      </w:r>
      <w:r w:rsidRPr="001A6BB5">
        <w:rPr>
          <w:b/>
          <w:i/>
        </w:rPr>
        <w:t xml:space="preserve">Observation </w:t>
      </w:r>
      <w:r w:rsidRPr="001A6BB5">
        <w:rPr>
          <w:b/>
          <w:i/>
          <w:noProof/>
        </w:rPr>
        <w:t>4</w:t>
      </w:r>
      <w:r w:rsidRPr="001A6BB5">
        <w:rPr>
          <w:b/>
          <w:i/>
        </w:rPr>
        <w:t>: RAN2 has confirmed that the contiguity of intra-band EN-DC depends on the contiguity of adjacent LTE carrier and NR carrier no matter whether PCC or SCC.</w:t>
      </w:r>
      <w:r w:rsidRPr="001A6BB5">
        <w:rPr>
          <w:b/>
          <w:i/>
          <w:sz w:val="20"/>
          <w:szCs w:val="20"/>
        </w:rPr>
        <w:fldChar w:fldCharType="end"/>
      </w:r>
    </w:p>
    <w:p w14:paraId="03AE24FD" w14:textId="743AAB63" w:rsidR="00A16B4B" w:rsidRPr="00443246" w:rsidRDefault="00A16B4B">
      <w:pPr>
        <w:snapToGrid w:val="0"/>
        <w:spacing w:after="240"/>
        <w:rPr>
          <w:b/>
          <w:i/>
          <w:sz w:val="20"/>
          <w:szCs w:val="20"/>
        </w:rPr>
      </w:pPr>
      <w:r w:rsidRPr="00F200CA">
        <w:rPr>
          <w:b/>
          <w:i/>
          <w:sz w:val="20"/>
          <w:szCs w:val="20"/>
        </w:rPr>
        <w:fldChar w:fldCharType="begin"/>
      </w:r>
      <w:r w:rsidRPr="00F200CA">
        <w:rPr>
          <w:b/>
          <w:i/>
          <w:sz w:val="20"/>
          <w:szCs w:val="20"/>
        </w:rPr>
        <w:instrText xml:space="preserve"> REF _Ref136528295 \h </w:instrText>
      </w:r>
      <w:r w:rsidRPr="00443246">
        <w:rPr>
          <w:b/>
          <w:i/>
          <w:sz w:val="20"/>
          <w:szCs w:val="20"/>
        </w:rPr>
        <w:instrText xml:space="preserve"> \* MERGEFORMAT </w:instrText>
      </w:r>
      <w:r w:rsidRPr="00F200CA">
        <w:rPr>
          <w:b/>
          <w:i/>
          <w:sz w:val="20"/>
          <w:szCs w:val="20"/>
        </w:rPr>
      </w:r>
      <w:r w:rsidRPr="00F200CA">
        <w:rPr>
          <w:b/>
          <w:i/>
          <w:sz w:val="20"/>
          <w:szCs w:val="20"/>
        </w:rPr>
        <w:fldChar w:fldCharType="separate"/>
      </w:r>
      <w:r w:rsidR="002514E5" w:rsidRPr="001A6BB5">
        <w:rPr>
          <w:b/>
          <w:i/>
          <w:sz w:val="20"/>
          <w:szCs w:val="20"/>
        </w:rPr>
        <w:t xml:space="preserve">Observation </w:t>
      </w:r>
      <w:r w:rsidR="002514E5" w:rsidRPr="001A6BB5">
        <w:rPr>
          <w:b/>
          <w:i/>
          <w:noProof/>
          <w:sz w:val="20"/>
          <w:szCs w:val="20"/>
        </w:rPr>
        <w:t>5</w:t>
      </w:r>
      <w:r w:rsidR="002514E5" w:rsidRPr="001A6BB5">
        <w:rPr>
          <w:b/>
          <w:i/>
          <w:sz w:val="20"/>
          <w:szCs w:val="20"/>
        </w:rPr>
        <w:t>:</w:t>
      </w:r>
      <w:r w:rsidR="002514E5" w:rsidRPr="001A6BB5">
        <w:rPr>
          <w:b/>
          <w:sz w:val="20"/>
          <w:szCs w:val="20"/>
        </w:rPr>
        <w:t xml:space="preserve"> </w:t>
      </w:r>
      <w:r w:rsidR="002514E5" w:rsidRPr="001A6BB5">
        <w:rPr>
          <w:b/>
          <w:i/>
          <w:sz w:val="20"/>
          <w:szCs w:val="20"/>
        </w:rPr>
        <w:t xml:space="preserve">DL </w:t>
      </w:r>
      <w:r w:rsidR="002514E5" w:rsidRPr="001A6BB5">
        <w:rPr>
          <w:rFonts w:eastAsiaTheme="minorEastAsia"/>
          <w:b/>
          <w:i/>
          <w:iCs/>
          <w:sz w:val="20"/>
          <w:szCs w:val="20"/>
        </w:rPr>
        <w:t>DC_48A_(n)48AA,</w:t>
      </w:r>
      <w:r w:rsidR="002514E5" w:rsidRPr="001A6BB5">
        <w:rPr>
          <w:b/>
          <w:i/>
          <w:sz w:val="20"/>
          <w:szCs w:val="20"/>
        </w:rPr>
        <w:t xml:space="preserve"> UL DC_(n)48AA is a </w:t>
      </w:r>
      <w:r w:rsidR="002514E5" w:rsidRPr="001A6BB5">
        <w:rPr>
          <w:b/>
          <w:i/>
          <w:sz w:val="20"/>
          <w:szCs w:val="20"/>
          <w:u w:val="single"/>
        </w:rPr>
        <w:t>contiguous</w:t>
      </w:r>
      <w:r w:rsidR="002514E5" w:rsidRPr="001A6BB5">
        <w:rPr>
          <w:b/>
          <w:i/>
          <w:sz w:val="20"/>
          <w:szCs w:val="20"/>
        </w:rPr>
        <w:t xml:space="preserve"> EN-DC configuration according to RAN2 LS.</w:t>
      </w:r>
      <w:r w:rsidRPr="00F200CA">
        <w:rPr>
          <w:b/>
          <w:i/>
          <w:sz w:val="20"/>
          <w:szCs w:val="20"/>
        </w:rPr>
        <w:fldChar w:fldCharType="end"/>
      </w:r>
    </w:p>
    <w:p w14:paraId="58CFAD78" w14:textId="488C36B6" w:rsidR="00A16B4B" w:rsidRPr="00F200CA" w:rsidRDefault="009B4432" w:rsidP="00B30A10">
      <w:pPr>
        <w:snapToGrid w:val="0"/>
        <w:spacing w:after="60"/>
        <w:rPr>
          <w:b/>
          <w:sz w:val="20"/>
          <w:szCs w:val="20"/>
        </w:rPr>
      </w:pPr>
      <w:r w:rsidRPr="00F200CA">
        <w:rPr>
          <w:b/>
          <w:sz w:val="20"/>
          <w:szCs w:val="20"/>
        </w:rPr>
        <w:fldChar w:fldCharType="begin"/>
      </w:r>
      <w:r w:rsidRPr="00F200CA">
        <w:rPr>
          <w:b/>
          <w:sz w:val="20"/>
          <w:szCs w:val="20"/>
        </w:rPr>
        <w:instrText xml:space="preserve"> REF _Ref134897592 \h  \* MERGEFORMAT </w:instrText>
      </w:r>
      <w:r w:rsidRPr="00F200CA">
        <w:rPr>
          <w:b/>
          <w:sz w:val="20"/>
          <w:szCs w:val="20"/>
        </w:rPr>
      </w:r>
      <w:r w:rsidRPr="00F200CA">
        <w:rPr>
          <w:b/>
          <w:sz w:val="20"/>
          <w:szCs w:val="20"/>
        </w:rPr>
        <w:fldChar w:fldCharType="separate"/>
      </w:r>
      <w:r w:rsidR="002514E5" w:rsidRPr="001A6BB5">
        <w:rPr>
          <w:b/>
          <w:i/>
          <w:sz w:val="20"/>
          <w:szCs w:val="20"/>
        </w:rPr>
        <w:t xml:space="preserve">Proposal </w:t>
      </w:r>
      <w:r w:rsidR="002514E5" w:rsidRPr="001A6BB5">
        <w:rPr>
          <w:b/>
          <w:i/>
          <w:noProof/>
          <w:sz w:val="20"/>
          <w:szCs w:val="20"/>
        </w:rPr>
        <w:t>1</w:t>
      </w:r>
      <w:r w:rsidR="002514E5" w:rsidRPr="001A6BB5">
        <w:rPr>
          <w:b/>
          <w:i/>
          <w:sz w:val="20"/>
          <w:szCs w:val="20"/>
        </w:rPr>
        <w:t>: For the UE supports Case 3, e.g., DL DC_(n)48CA/ DC_(n)48DA and</w:t>
      </w:r>
      <w:r w:rsidR="002514E5" w:rsidRPr="001A6BB5">
        <w:rPr>
          <w:b/>
          <w:i/>
          <w:noProof/>
          <w:sz w:val="20"/>
          <w:szCs w:val="20"/>
        </w:rPr>
        <w:t xml:space="preserve"> </w:t>
      </w:r>
      <w:r w:rsidR="002514E5" w:rsidRPr="001A6BB5">
        <w:rPr>
          <w:b/>
          <w:i/>
          <w:sz w:val="20"/>
          <w:szCs w:val="20"/>
        </w:rPr>
        <w:t xml:space="preserve">UL DC_48A_n48A, it should </w:t>
      </w:r>
      <w:r w:rsidR="002514E5" w:rsidRPr="001A6BB5">
        <w:rPr>
          <w:b/>
          <w:i/>
          <w:sz w:val="20"/>
          <w:szCs w:val="20"/>
        </w:rPr>
        <w:lastRenderedPageBreak/>
        <w:t xml:space="preserve">additionally support DC_48A_n48A at least for </w:t>
      </w:r>
      <w:r w:rsidR="002514E5" w:rsidRPr="001A6BB5">
        <w:rPr>
          <w:b/>
          <w:i/>
          <w:noProof/>
          <w:sz w:val="20"/>
          <w:szCs w:val="20"/>
        </w:rPr>
        <w:t>DL</w:t>
      </w:r>
      <w:r w:rsidR="002514E5" w:rsidRPr="001A6BB5">
        <w:rPr>
          <w:b/>
          <w:i/>
          <w:sz w:val="20"/>
          <w:szCs w:val="20"/>
        </w:rPr>
        <w:t xml:space="preserve"> configuration in RAN4 specification, to implement the special intra-band EN-DC configuration for CBRS band.</w:t>
      </w:r>
      <w:r w:rsidRPr="00F200CA">
        <w:rPr>
          <w:b/>
          <w:sz w:val="20"/>
          <w:szCs w:val="20"/>
        </w:rPr>
        <w:fldChar w:fldCharType="end"/>
      </w:r>
    </w:p>
    <w:p w14:paraId="35714E47" w14:textId="461C07A9" w:rsidR="00A16B4B" w:rsidRPr="00F200CA" w:rsidRDefault="00A16B4B" w:rsidP="00B30A10">
      <w:pPr>
        <w:snapToGrid w:val="0"/>
        <w:spacing w:after="60"/>
        <w:rPr>
          <w:b/>
          <w:sz w:val="20"/>
          <w:szCs w:val="20"/>
        </w:rPr>
      </w:pPr>
      <w:r w:rsidRPr="00F200CA">
        <w:rPr>
          <w:b/>
          <w:sz w:val="20"/>
          <w:szCs w:val="20"/>
        </w:rPr>
        <w:fldChar w:fldCharType="begin"/>
      </w:r>
      <w:r w:rsidRPr="00F200CA">
        <w:rPr>
          <w:b/>
          <w:sz w:val="20"/>
          <w:szCs w:val="20"/>
        </w:rPr>
        <w:instrText xml:space="preserve"> REF _Ref134897704 \h </w:instrText>
      </w:r>
      <w:r w:rsidRPr="00443246">
        <w:rPr>
          <w:b/>
          <w:sz w:val="20"/>
          <w:szCs w:val="20"/>
        </w:rPr>
        <w:instrText xml:space="preserve"> \* MERGEFORMAT </w:instrText>
      </w:r>
      <w:r w:rsidRPr="00F200CA">
        <w:rPr>
          <w:b/>
          <w:sz w:val="20"/>
          <w:szCs w:val="20"/>
        </w:rPr>
      </w:r>
      <w:r w:rsidRPr="00F200CA">
        <w:rPr>
          <w:b/>
          <w:sz w:val="20"/>
          <w:szCs w:val="20"/>
        </w:rPr>
        <w:fldChar w:fldCharType="separate"/>
      </w:r>
      <w:r w:rsidR="002514E5" w:rsidRPr="001A6BB5">
        <w:rPr>
          <w:b/>
          <w:i/>
          <w:sz w:val="20"/>
          <w:szCs w:val="20"/>
        </w:rPr>
        <w:t xml:space="preserve">Proposal </w:t>
      </w:r>
      <w:r w:rsidR="002514E5" w:rsidRPr="001A6BB5">
        <w:rPr>
          <w:b/>
          <w:i/>
          <w:noProof/>
          <w:sz w:val="20"/>
          <w:szCs w:val="20"/>
        </w:rPr>
        <w:t>2</w:t>
      </w:r>
      <w:r w:rsidR="002514E5" w:rsidRPr="001A6BB5">
        <w:rPr>
          <w:b/>
          <w:i/>
          <w:sz w:val="20"/>
          <w:szCs w:val="20"/>
        </w:rPr>
        <w:t xml:space="preserve">: The configuration of DL </w:t>
      </w:r>
      <w:r w:rsidR="002514E5" w:rsidRPr="001A6BB5">
        <w:rPr>
          <w:rFonts w:eastAsiaTheme="minorEastAsia"/>
          <w:b/>
          <w:i/>
          <w:iCs/>
          <w:sz w:val="20"/>
          <w:szCs w:val="20"/>
        </w:rPr>
        <w:t>DC_48A_(n)48AA,</w:t>
      </w:r>
      <w:r w:rsidR="002514E5" w:rsidRPr="001A6BB5">
        <w:rPr>
          <w:b/>
          <w:i/>
          <w:sz w:val="20"/>
          <w:szCs w:val="20"/>
        </w:rPr>
        <w:t xml:space="preserve"> UL DC_(n)48AA should be moved to the tables defined for intra-band contiguous EN-DC configuration Table 5.3B.1.2-1 and Table 5.5B.2-1 in 38.101-3.</w:t>
      </w:r>
      <w:r w:rsidRPr="00F200CA">
        <w:rPr>
          <w:b/>
          <w:sz w:val="20"/>
          <w:szCs w:val="20"/>
        </w:rPr>
        <w:fldChar w:fldCharType="end"/>
      </w:r>
    </w:p>
    <w:p w14:paraId="6988D9E1" w14:textId="663A454D" w:rsidR="00A16B4B" w:rsidRDefault="00A16B4B" w:rsidP="00B30A10">
      <w:pPr>
        <w:snapToGrid w:val="0"/>
        <w:spacing w:after="60"/>
        <w:rPr>
          <w:b/>
          <w:sz w:val="20"/>
          <w:szCs w:val="20"/>
        </w:rPr>
      </w:pPr>
      <w:r w:rsidRPr="00F200CA">
        <w:rPr>
          <w:b/>
          <w:sz w:val="20"/>
          <w:szCs w:val="20"/>
        </w:rPr>
        <w:fldChar w:fldCharType="begin"/>
      </w:r>
      <w:r w:rsidRPr="00F200CA">
        <w:rPr>
          <w:b/>
          <w:sz w:val="20"/>
          <w:szCs w:val="20"/>
        </w:rPr>
        <w:instrText xml:space="preserve"> REF _Ref136528317 \h </w:instrText>
      </w:r>
      <w:r w:rsidRPr="00443246">
        <w:rPr>
          <w:b/>
          <w:sz w:val="20"/>
          <w:szCs w:val="20"/>
        </w:rPr>
        <w:instrText xml:space="preserve"> \* MERGEFORMAT </w:instrText>
      </w:r>
      <w:r w:rsidRPr="00F200CA">
        <w:rPr>
          <w:b/>
          <w:sz w:val="20"/>
          <w:szCs w:val="20"/>
        </w:rPr>
      </w:r>
      <w:r w:rsidRPr="00F200CA">
        <w:rPr>
          <w:b/>
          <w:sz w:val="20"/>
          <w:szCs w:val="20"/>
        </w:rPr>
        <w:fldChar w:fldCharType="separate"/>
      </w:r>
      <w:r w:rsidR="002514E5" w:rsidRPr="001A6BB5">
        <w:rPr>
          <w:b/>
          <w:i/>
          <w:sz w:val="20"/>
          <w:szCs w:val="20"/>
        </w:rPr>
        <w:t xml:space="preserve">Proposal </w:t>
      </w:r>
      <w:r w:rsidR="002514E5" w:rsidRPr="001A6BB5">
        <w:rPr>
          <w:b/>
          <w:i/>
          <w:noProof/>
          <w:sz w:val="20"/>
          <w:szCs w:val="20"/>
        </w:rPr>
        <w:t>3</w:t>
      </w:r>
      <w:r w:rsidR="002514E5" w:rsidRPr="001A6BB5">
        <w:rPr>
          <w:b/>
          <w:i/>
          <w:sz w:val="20"/>
          <w:szCs w:val="20"/>
        </w:rPr>
        <w:t xml:space="preserve">: For the UE supports </w:t>
      </w:r>
      <w:r w:rsidR="002514E5" w:rsidRPr="001A6BB5">
        <w:rPr>
          <w:rFonts w:eastAsiaTheme="minorEastAsia"/>
          <w:b/>
          <w:i/>
          <w:iCs/>
          <w:sz w:val="20"/>
          <w:szCs w:val="20"/>
          <w:lang w:val="en-GB"/>
        </w:rPr>
        <w:t>DL DC_48A_(n)48AA, UL DC_48A_n48A,</w:t>
      </w:r>
      <w:r w:rsidR="002514E5" w:rsidRPr="001A6BB5">
        <w:rPr>
          <w:b/>
          <w:i/>
          <w:sz w:val="20"/>
          <w:szCs w:val="20"/>
        </w:rPr>
        <w:t xml:space="preserve"> it should additionally support DC_48A_n48A at least for DL configuration in RAN4 specification, to implement</w:t>
      </w:r>
      <w:r w:rsidR="002514E5" w:rsidRPr="001A6BB5">
        <w:rPr>
          <w:b/>
          <w:sz w:val="20"/>
          <w:szCs w:val="20"/>
        </w:rPr>
        <w:t xml:space="preserve"> </w:t>
      </w:r>
      <w:r w:rsidR="002514E5" w:rsidRPr="001A6BB5">
        <w:rPr>
          <w:b/>
          <w:i/>
          <w:sz w:val="20"/>
          <w:szCs w:val="20"/>
        </w:rPr>
        <w:t>the special intra-band EN-DC configuration for CBRS band.</w:t>
      </w:r>
      <w:r w:rsidRPr="00F200CA">
        <w:rPr>
          <w:b/>
          <w:sz w:val="20"/>
          <w:szCs w:val="20"/>
        </w:rPr>
        <w:fldChar w:fldCharType="end"/>
      </w:r>
    </w:p>
    <w:p w14:paraId="2D18B83A" w14:textId="4C195FE2" w:rsidR="002514E5" w:rsidRPr="001A6BB5" w:rsidRDefault="002514E5" w:rsidP="00B30A10">
      <w:pPr>
        <w:snapToGrid w:val="0"/>
        <w:spacing w:after="60"/>
        <w:rPr>
          <w:b/>
          <w:sz w:val="20"/>
          <w:szCs w:val="20"/>
        </w:rPr>
      </w:pPr>
      <w:r w:rsidRPr="001A6BB5">
        <w:rPr>
          <w:b/>
          <w:sz w:val="20"/>
          <w:szCs w:val="20"/>
        </w:rPr>
        <w:fldChar w:fldCharType="begin"/>
      </w:r>
      <w:r w:rsidRPr="001A6BB5">
        <w:rPr>
          <w:b/>
          <w:sz w:val="20"/>
          <w:szCs w:val="20"/>
        </w:rPr>
        <w:instrText xml:space="preserve"> REF _Ref136878294 \h  \* MERGEFORMAT </w:instrText>
      </w:r>
      <w:r w:rsidRPr="001A6BB5">
        <w:rPr>
          <w:b/>
          <w:sz w:val="20"/>
          <w:szCs w:val="20"/>
        </w:rPr>
      </w:r>
      <w:r w:rsidRPr="001A6BB5">
        <w:rPr>
          <w:b/>
          <w:sz w:val="20"/>
          <w:szCs w:val="20"/>
        </w:rPr>
        <w:fldChar w:fldCharType="separate"/>
      </w:r>
      <w:r w:rsidRPr="001A6BB5">
        <w:rPr>
          <w:b/>
          <w:i/>
        </w:rPr>
        <w:t xml:space="preserve">Proposal </w:t>
      </w:r>
      <w:r w:rsidRPr="001A6BB5">
        <w:rPr>
          <w:b/>
          <w:i/>
          <w:noProof/>
        </w:rPr>
        <w:t>4</w:t>
      </w:r>
      <w:r w:rsidRPr="001A6BB5">
        <w:rPr>
          <w:b/>
          <w:i/>
        </w:rPr>
        <w:t>: Agree the CRs to TS38.101-3 in [</w:t>
      </w:r>
      <w:proofErr w:type="gramStart"/>
      <w:r w:rsidRPr="001A6BB5">
        <w:rPr>
          <w:b/>
          <w:i/>
        </w:rPr>
        <w:t>12][</w:t>
      </w:r>
      <w:proofErr w:type="gramEnd"/>
      <w:r w:rsidRPr="001A6BB5">
        <w:rPr>
          <w:b/>
          <w:i/>
        </w:rPr>
        <w:t xml:space="preserve">13][14] to align the same understanding of </w:t>
      </w:r>
      <w:proofErr w:type="spellStart"/>
      <w:r w:rsidRPr="001A6BB5">
        <w:rPr>
          <w:b/>
          <w:i/>
        </w:rPr>
        <w:t>intraBandENDC</w:t>
      </w:r>
      <w:proofErr w:type="spellEnd"/>
      <w:r w:rsidRPr="001A6BB5">
        <w:rPr>
          <w:b/>
          <w:i/>
        </w:rPr>
        <w:t xml:space="preserve">-Support </w:t>
      </w:r>
      <w:proofErr w:type="spellStart"/>
      <w:r w:rsidRPr="001A6BB5">
        <w:rPr>
          <w:b/>
          <w:i/>
        </w:rPr>
        <w:t>signalling</w:t>
      </w:r>
      <w:proofErr w:type="spellEnd"/>
      <w:r w:rsidRPr="001A6BB5">
        <w:rPr>
          <w:b/>
          <w:i/>
        </w:rPr>
        <w:t xml:space="preserve"> between RAN4 and RAN2 specifications.</w:t>
      </w:r>
      <w:r w:rsidRPr="001A6BB5">
        <w:rPr>
          <w:b/>
          <w:sz w:val="20"/>
          <w:szCs w:val="20"/>
        </w:rPr>
        <w:fldChar w:fldCharType="end"/>
      </w:r>
    </w:p>
    <w:p w14:paraId="65A4A536" w14:textId="77777777" w:rsidR="00DC6310" w:rsidRDefault="000C74C9" w:rsidP="00DC631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0C86E07F" w14:textId="5E7B63BF" w:rsidR="00EF3905" w:rsidRPr="00B30A10" w:rsidRDefault="00DC6310" w:rsidP="00B30A10">
      <w:pPr>
        <w:keepNext/>
        <w:keepLines/>
        <w:widowControl/>
        <w:pBdr>
          <w:top w:val="single" w:sz="12" w:space="1" w:color="auto"/>
        </w:pBdr>
        <w:tabs>
          <w:tab w:val="left" w:pos="567"/>
        </w:tabs>
        <w:adjustRightInd w:val="0"/>
        <w:snapToGrid w:val="0"/>
        <w:spacing w:after="0" w:line="288" w:lineRule="auto"/>
        <w:ind w:left="510" w:hanging="510"/>
        <w:rPr>
          <w:sz w:val="20"/>
          <w:szCs w:val="20"/>
        </w:rPr>
      </w:pPr>
      <w:r w:rsidRPr="00B30A10">
        <w:rPr>
          <w:sz w:val="20"/>
          <w:szCs w:val="20"/>
        </w:rPr>
        <w:t>[1]</w:t>
      </w:r>
      <w:r w:rsidR="0078002E" w:rsidRPr="00B30A10">
        <w:rPr>
          <w:sz w:val="20"/>
          <w:szCs w:val="20"/>
        </w:rPr>
        <w:t xml:space="preserve">   </w:t>
      </w:r>
      <w:r w:rsidR="00EF3905" w:rsidRPr="00B30A10">
        <w:rPr>
          <w:sz w:val="20"/>
          <w:szCs w:val="20"/>
        </w:rPr>
        <w:t>R4-2102628</w:t>
      </w:r>
      <w:r w:rsidR="00815151" w:rsidRPr="00B30A10">
        <w:rPr>
          <w:sz w:val="20"/>
          <w:szCs w:val="20"/>
        </w:rPr>
        <w:t>,</w:t>
      </w:r>
      <w:r w:rsidR="00EF3905" w:rsidRPr="00B30A10">
        <w:rPr>
          <w:sz w:val="20"/>
          <w:szCs w:val="20"/>
        </w:rPr>
        <w:t xml:space="preserve"> On UE capability for intra-band ENDC, Huawei, Hisilicon, TSG RAN4#98-e.</w:t>
      </w:r>
    </w:p>
    <w:p w14:paraId="4627BE88" w14:textId="641B80D5" w:rsidR="00815151" w:rsidRPr="00B30A10" w:rsidRDefault="00815151" w:rsidP="00B30A10">
      <w:pPr>
        <w:keepNext/>
        <w:keepLines/>
        <w:widowControl/>
        <w:pBdr>
          <w:top w:val="single" w:sz="12" w:space="1" w:color="auto"/>
        </w:pBdr>
        <w:tabs>
          <w:tab w:val="left" w:pos="567"/>
        </w:tabs>
        <w:adjustRightInd w:val="0"/>
        <w:snapToGrid w:val="0"/>
        <w:spacing w:after="0" w:line="288" w:lineRule="auto"/>
        <w:ind w:left="510" w:hanging="510"/>
        <w:rPr>
          <w:sz w:val="20"/>
          <w:szCs w:val="20"/>
        </w:rPr>
      </w:pPr>
      <w:r w:rsidRPr="00B30A10">
        <w:rPr>
          <w:sz w:val="20"/>
          <w:szCs w:val="20"/>
        </w:rPr>
        <w:t>[2]   RP-222646, Discussion on intra-band EN-DC combination, Huawei, Hisilicon, TSG RAN#97-e.</w:t>
      </w:r>
    </w:p>
    <w:p w14:paraId="25FE5C7A" w14:textId="6FBAFF8C" w:rsidR="00FE3821" w:rsidRPr="00B30A10" w:rsidRDefault="00815151" w:rsidP="00B30A10">
      <w:pPr>
        <w:keepNext/>
        <w:keepLines/>
        <w:widowControl/>
        <w:pBdr>
          <w:top w:val="single" w:sz="12" w:space="1" w:color="auto"/>
        </w:pBdr>
        <w:tabs>
          <w:tab w:val="left" w:pos="567"/>
        </w:tabs>
        <w:adjustRightInd w:val="0"/>
        <w:snapToGrid w:val="0"/>
        <w:spacing w:after="0" w:line="288" w:lineRule="auto"/>
        <w:ind w:left="510" w:hanging="510"/>
        <w:rPr>
          <w:sz w:val="20"/>
          <w:szCs w:val="20"/>
        </w:rPr>
      </w:pPr>
      <w:r w:rsidRPr="00B30A10">
        <w:rPr>
          <w:sz w:val="20"/>
          <w:szCs w:val="20"/>
        </w:rPr>
        <w:t xml:space="preserve">[3]   </w:t>
      </w:r>
      <w:r w:rsidR="00FE3821" w:rsidRPr="00B30A10">
        <w:rPr>
          <w:sz w:val="20"/>
          <w:szCs w:val="20"/>
        </w:rPr>
        <w:t>R2- 2304431, “</w:t>
      </w:r>
      <w:r w:rsidR="00BD7C55" w:rsidRPr="00B30A10">
        <w:rPr>
          <w:sz w:val="20"/>
          <w:szCs w:val="20"/>
        </w:rPr>
        <w:t xml:space="preserve">Reply LS on </w:t>
      </w:r>
      <w:proofErr w:type="spellStart"/>
      <w:r w:rsidR="00BD7C55" w:rsidRPr="00B30A10">
        <w:rPr>
          <w:sz w:val="20"/>
          <w:szCs w:val="20"/>
        </w:rPr>
        <w:t>intraBandENDC</w:t>
      </w:r>
      <w:proofErr w:type="spellEnd"/>
      <w:r w:rsidR="00BD7C55" w:rsidRPr="00B30A10">
        <w:rPr>
          <w:sz w:val="20"/>
          <w:szCs w:val="20"/>
        </w:rPr>
        <w:t>-Support</w:t>
      </w:r>
      <w:r w:rsidR="00FE3821" w:rsidRPr="00B30A10">
        <w:rPr>
          <w:sz w:val="20"/>
          <w:szCs w:val="20"/>
        </w:rPr>
        <w:t>”, TSG RAN</w:t>
      </w:r>
      <w:r w:rsidR="00BD7C55" w:rsidRPr="00B30A10">
        <w:rPr>
          <w:sz w:val="20"/>
          <w:szCs w:val="20"/>
        </w:rPr>
        <w:t>2</w:t>
      </w:r>
      <w:r w:rsidR="00FE3821" w:rsidRPr="00B30A10">
        <w:rPr>
          <w:sz w:val="20"/>
          <w:szCs w:val="20"/>
        </w:rPr>
        <w:t xml:space="preserve"> Meeting #</w:t>
      </w:r>
      <w:r w:rsidR="00BD7C55" w:rsidRPr="00B30A10">
        <w:rPr>
          <w:sz w:val="20"/>
          <w:szCs w:val="20"/>
        </w:rPr>
        <w:t>121bis-e</w:t>
      </w:r>
      <w:r w:rsidR="00FE3821" w:rsidRPr="00B30A10">
        <w:rPr>
          <w:sz w:val="20"/>
          <w:szCs w:val="20"/>
        </w:rPr>
        <w:t>.</w:t>
      </w:r>
    </w:p>
    <w:p w14:paraId="4DAA47DA" w14:textId="77777777" w:rsidR="003C137D" w:rsidRPr="00B30A10" w:rsidRDefault="003C137D" w:rsidP="00B30A10">
      <w:pPr>
        <w:keepNext/>
        <w:keepLines/>
        <w:widowControl/>
        <w:pBdr>
          <w:top w:val="single" w:sz="12" w:space="1" w:color="auto"/>
        </w:pBdr>
        <w:tabs>
          <w:tab w:val="left" w:pos="567"/>
        </w:tabs>
        <w:adjustRightInd w:val="0"/>
        <w:snapToGrid w:val="0"/>
        <w:spacing w:after="0" w:line="288" w:lineRule="auto"/>
        <w:ind w:left="510" w:hanging="510"/>
        <w:rPr>
          <w:sz w:val="20"/>
          <w:szCs w:val="20"/>
          <w:lang w:val="en-GB"/>
        </w:rPr>
      </w:pPr>
      <w:r w:rsidRPr="00B30A10">
        <w:rPr>
          <w:sz w:val="20"/>
          <w:szCs w:val="20"/>
        </w:rPr>
        <w:t>[4]</w:t>
      </w:r>
      <w:r w:rsidRPr="00B30A10">
        <w:rPr>
          <w:sz w:val="20"/>
          <w:szCs w:val="20"/>
        </w:rPr>
        <w:tab/>
      </w:r>
      <w:r w:rsidRPr="00B30A10">
        <w:rPr>
          <w:sz w:val="20"/>
          <w:szCs w:val="20"/>
          <w:lang w:val="en-GB"/>
        </w:rPr>
        <w:t>R2-2306507</w:t>
      </w:r>
      <w:r w:rsidRPr="00B30A10">
        <w:rPr>
          <w:sz w:val="20"/>
          <w:szCs w:val="20"/>
          <w:lang w:val="en-GB"/>
        </w:rPr>
        <w:tab/>
        <w:t>Introduction of intra-band EN-DC contiguous capability for UL</w:t>
      </w:r>
      <w:r w:rsidRPr="00B30A10">
        <w:rPr>
          <w:sz w:val="20"/>
          <w:szCs w:val="20"/>
          <w:lang w:val="en-GB"/>
        </w:rPr>
        <w:tab/>
        <w:t xml:space="preserve">Huawei, HiSilicon, Nokia, Nokia Shanghai Bell, Qualcomm Incorporated, Intel Corporation, ZTE Corporation, </w:t>
      </w:r>
      <w:proofErr w:type="spellStart"/>
      <w:r w:rsidRPr="00B30A10">
        <w:rPr>
          <w:sz w:val="20"/>
          <w:szCs w:val="20"/>
          <w:lang w:val="en-GB"/>
        </w:rPr>
        <w:t>Sanechips</w:t>
      </w:r>
      <w:proofErr w:type="spellEnd"/>
      <w:r w:rsidRPr="00B30A10">
        <w:rPr>
          <w:sz w:val="20"/>
          <w:szCs w:val="20"/>
          <w:lang w:val="en-GB"/>
        </w:rPr>
        <w:t xml:space="preserve">, MediaTek </w:t>
      </w:r>
      <w:proofErr w:type="spellStart"/>
      <w:r w:rsidRPr="00B30A10">
        <w:rPr>
          <w:sz w:val="20"/>
          <w:szCs w:val="20"/>
          <w:lang w:val="en-GB"/>
        </w:rPr>
        <w:t>inc</w:t>
      </w:r>
      <w:proofErr w:type="spellEnd"/>
      <w:r w:rsidRPr="00B30A10">
        <w:rPr>
          <w:sz w:val="20"/>
          <w:szCs w:val="20"/>
          <w:lang w:val="en-GB"/>
        </w:rPr>
        <w:tab/>
        <w:t>CR</w:t>
      </w:r>
      <w:r w:rsidRPr="00B30A10">
        <w:rPr>
          <w:sz w:val="20"/>
          <w:szCs w:val="20"/>
          <w:lang w:val="en-GB"/>
        </w:rPr>
        <w:tab/>
        <w:t>Rel-15</w:t>
      </w:r>
      <w:r w:rsidRPr="00B30A10">
        <w:rPr>
          <w:sz w:val="20"/>
          <w:szCs w:val="20"/>
          <w:lang w:val="en-GB"/>
        </w:rPr>
        <w:tab/>
        <w:t>38.306</w:t>
      </w:r>
      <w:r w:rsidRPr="00B30A10">
        <w:rPr>
          <w:sz w:val="20"/>
          <w:szCs w:val="20"/>
          <w:lang w:val="en-GB"/>
        </w:rPr>
        <w:tab/>
        <w:t>15.20.0</w:t>
      </w:r>
      <w:r w:rsidRPr="00B30A10">
        <w:rPr>
          <w:sz w:val="20"/>
          <w:szCs w:val="20"/>
          <w:lang w:val="en-GB"/>
        </w:rPr>
        <w:tab/>
        <w:t>0927</w:t>
      </w:r>
      <w:r w:rsidRPr="00B30A10">
        <w:rPr>
          <w:sz w:val="20"/>
          <w:szCs w:val="20"/>
          <w:lang w:val="en-GB"/>
        </w:rPr>
        <w:tab/>
        <w:t>-</w:t>
      </w:r>
      <w:r w:rsidRPr="00B30A10">
        <w:rPr>
          <w:sz w:val="20"/>
          <w:szCs w:val="20"/>
          <w:lang w:val="en-GB"/>
        </w:rPr>
        <w:tab/>
        <w:t>B</w:t>
      </w:r>
      <w:r w:rsidRPr="00B30A10">
        <w:rPr>
          <w:sz w:val="20"/>
          <w:szCs w:val="20"/>
          <w:lang w:val="en-GB"/>
        </w:rPr>
        <w:tab/>
        <w:t xml:space="preserve">TEI17, </w:t>
      </w:r>
      <w:proofErr w:type="spellStart"/>
      <w:r w:rsidRPr="00B30A10">
        <w:rPr>
          <w:sz w:val="20"/>
          <w:szCs w:val="20"/>
          <w:lang w:val="en-GB"/>
        </w:rPr>
        <w:t>NR_newRAT</w:t>
      </w:r>
      <w:proofErr w:type="spellEnd"/>
      <w:r w:rsidRPr="00B30A10">
        <w:rPr>
          <w:sz w:val="20"/>
          <w:szCs w:val="20"/>
          <w:lang w:val="en-GB"/>
        </w:rPr>
        <w:t>-Core</w:t>
      </w:r>
    </w:p>
    <w:p w14:paraId="25EF744C" w14:textId="0C99DB37" w:rsidR="003C137D" w:rsidRPr="00B30A10" w:rsidRDefault="003C137D" w:rsidP="00B30A10">
      <w:pPr>
        <w:keepNext/>
        <w:keepLines/>
        <w:widowControl/>
        <w:pBdr>
          <w:top w:val="single" w:sz="12" w:space="1" w:color="auto"/>
        </w:pBdr>
        <w:tabs>
          <w:tab w:val="left" w:pos="567"/>
        </w:tabs>
        <w:adjustRightInd w:val="0"/>
        <w:snapToGrid w:val="0"/>
        <w:spacing w:after="0" w:line="288" w:lineRule="auto"/>
        <w:ind w:left="510" w:hanging="510"/>
        <w:rPr>
          <w:sz w:val="20"/>
          <w:szCs w:val="20"/>
          <w:lang w:val="en-GB"/>
        </w:rPr>
      </w:pPr>
      <w:r w:rsidRPr="00B30A10">
        <w:rPr>
          <w:sz w:val="20"/>
          <w:szCs w:val="20"/>
        </w:rPr>
        <w:t>[5]</w:t>
      </w:r>
      <w:r w:rsidRPr="00B30A10">
        <w:rPr>
          <w:sz w:val="20"/>
          <w:szCs w:val="20"/>
        </w:rPr>
        <w:tab/>
      </w:r>
      <w:r w:rsidRPr="00B30A10">
        <w:rPr>
          <w:sz w:val="20"/>
          <w:szCs w:val="20"/>
          <w:lang w:val="en-GB"/>
        </w:rPr>
        <w:t>R2-2306508</w:t>
      </w:r>
      <w:r w:rsidRPr="00B30A10">
        <w:rPr>
          <w:sz w:val="20"/>
          <w:szCs w:val="20"/>
          <w:lang w:val="en-GB"/>
        </w:rPr>
        <w:tab/>
        <w:t>Introduction of intra-band EN-DC contiguous capability for UL</w:t>
      </w:r>
      <w:r w:rsidRPr="00B30A10">
        <w:rPr>
          <w:sz w:val="20"/>
          <w:szCs w:val="20"/>
          <w:lang w:val="en-GB"/>
        </w:rPr>
        <w:tab/>
        <w:t xml:space="preserve">Huawei, HiSilicon, Nokia, Nokia Shanghai Bell, Qualcomm Incorporated, Intel Corporation, ZTE Corporation, </w:t>
      </w:r>
      <w:proofErr w:type="spellStart"/>
      <w:r w:rsidRPr="00B30A10">
        <w:rPr>
          <w:sz w:val="20"/>
          <w:szCs w:val="20"/>
          <w:lang w:val="en-GB"/>
        </w:rPr>
        <w:t>Sanechips</w:t>
      </w:r>
      <w:proofErr w:type="spellEnd"/>
      <w:r w:rsidRPr="00B30A10">
        <w:rPr>
          <w:sz w:val="20"/>
          <w:szCs w:val="20"/>
          <w:lang w:val="en-GB"/>
        </w:rPr>
        <w:t xml:space="preserve">, MediaTek </w:t>
      </w:r>
      <w:proofErr w:type="spellStart"/>
      <w:r w:rsidRPr="00B30A10">
        <w:rPr>
          <w:sz w:val="20"/>
          <w:szCs w:val="20"/>
          <w:lang w:val="en-GB"/>
        </w:rPr>
        <w:t>inc</w:t>
      </w:r>
      <w:proofErr w:type="spellEnd"/>
      <w:r w:rsidRPr="00B30A10">
        <w:rPr>
          <w:sz w:val="20"/>
          <w:szCs w:val="20"/>
          <w:lang w:val="en-GB"/>
        </w:rPr>
        <w:tab/>
        <w:t>CR</w:t>
      </w:r>
      <w:r w:rsidRPr="00B30A10">
        <w:rPr>
          <w:sz w:val="20"/>
          <w:szCs w:val="20"/>
          <w:lang w:val="en-GB"/>
        </w:rPr>
        <w:tab/>
        <w:t>Rel-16</w:t>
      </w:r>
      <w:r w:rsidRPr="00B30A10">
        <w:rPr>
          <w:sz w:val="20"/>
          <w:szCs w:val="20"/>
          <w:lang w:val="en-GB"/>
        </w:rPr>
        <w:tab/>
        <w:t>38.306</w:t>
      </w:r>
      <w:r w:rsidRPr="00B30A10">
        <w:rPr>
          <w:sz w:val="20"/>
          <w:szCs w:val="20"/>
          <w:lang w:val="en-GB"/>
        </w:rPr>
        <w:tab/>
        <w:t>16.12.0</w:t>
      </w:r>
      <w:r w:rsidRPr="00B30A10">
        <w:rPr>
          <w:sz w:val="20"/>
          <w:szCs w:val="20"/>
          <w:lang w:val="en-GB"/>
        </w:rPr>
        <w:tab/>
        <w:t>0928</w:t>
      </w:r>
      <w:r w:rsidRPr="00B30A10">
        <w:rPr>
          <w:sz w:val="20"/>
          <w:szCs w:val="20"/>
          <w:lang w:val="en-GB"/>
        </w:rPr>
        <w:tab/>
        <w:t>-</w:t>
      </w:r>
      <w:r w:rsidRPr="00B30A10">
        <w:rPr>
          <w:sz w:val="20"/>
          <w:szCs w:val="20"/>
          <w:lang w:val="en-GB"/>
        </w:rPr>
        <w:tab/>
        <w:t>A</w:t>
      </w:r>
      <w:r w:rsidRPr="00B30A10">
        <w:rPr>
          <w:sz w:val="20"/>
          <w:szCs w:val="20"/>
          <w:lang w:val="en-GB"/>
        </w:rPr>
        <w:tab/>
        <w:t xml:space="preserve">TEI17, </w:t>
      </w:r>
      <w:proofErr w:type="spellStart"/>
      <w:r w:rsidRPr="00B30A10">
        <w:rPr>
          <w:sz w:val="20"/>
          <w:szCs w:val="20"/>
          <w:lang w:val="en-GB"/>
        </w:rPr>
        <w:t>NR_newRAT</w:t>
      </w:r>
      <w:proofErr w:type="spellEnd"/>
      <w:r w:rsidRPr="00B30A10">
        <w:rPr>
          <w:sz w:val="20"/>
          <w:szCs w:val="20"/>
          <w:lang w:val="en-GB"/>
        </w:rPr>
        <w:t>-Core</w:t>
      </w:r>
    </w:p>
    <w:p w14:paraId="057B8B79" w14:textId="75BC1A87" w:rsidR="003C137D" w:rsidRPr="00B30A10" w:rsidRDefault="003C137D" w:rsidP="00B30A10">
      <w:pPr>
        <w:keepNext/>
        <w:keepLines/>
        <w:widowControl/>
        <w:pBdr>
          <w:top w:val="single" w:sz="12" w:space="1" w:color="auto"/>
        </w:pBdr>
        <w:tabs>
          <w:tab w:val="left" w:pos="567"/>
        </w:tabs>
        <w:adjustRightInd w:val="0"/>
        <w:snapToGrid w:val="0"/>
        <w:spacing w:after="0" w:line="288" w:lineRule="auto"/>
        <w:ind w:left="510" w:hanging="510"/>
        <w:rPr>
          <w:sz w:val="20"/>
          <w:szCs w:val="20"/>
          <w:lang w:val="en-GB"/>
        </w:rPr>
      </w:pPr>
      <w:r w:rsidRPr="00B30A10">
        <w:rPr>
          <w:sz w:val="20"/>
          <w:szCs w:val="20"/>
        </w:rPr>
        <w:t>[6]</w:t>
      </w:r>
      <w:r w:rsidRPr="00B30A10">
        <w:rPr>
          <w:sz w:val="20"/>
          <w:szCs w:val="20"/>
        </w:rPr>
        <w:tab/>
      </w:r>
      <w:r w:rsidRPr="00B30A10">
        <w:rPr>
          <w:sz w:val="20"/>
          <w:szCs w:val="20"/>
          <w:lang w:val="en-GB"/>
        </w:rPr>
        <w:t>R2-2306509 Introduction of intra-band EN-DC contiguous capability for UL</w:t>
      </w:r>
      <w:r w:rsidRPr="00B30A10">
        <w:rPr>
          <w:sz w:val="20"/>
          <w:szCs w:val="20"/>
          <w:lang w:val="en-GB"/>
        </w:rPr>
        <w:tab/>
        <w:t xml:space="preserve">Huawei, HiSilicon, Nokia, Nokia Shanghai Bell, Qualcomm Incorporated, Intel Corporation, ZTE Corporation, </w:t>
      </w:r>
      <w:proofErr w:type="spellStart"/>
      <w:r w:rsidRPr="00B30A10">
        <w:rPr>
          <w:sz w:val="20"/>
          <w:szCs w:val="20"/>
          <w:lang w:val="en-GB"/>
        </w:rPr>
        <w:t>Sanechips</w:t>
      </w:r>
      <w:proofErr w:type="spellEnd"/>
      <w:r w:rsidRPr="00B30A10">
        <w:rPr>
          <w:sz w:val="20"/>
          <w:szCs w:val="20"/>
          <w:lang w:val="en-GB"/>
        </w:rPr>
        <w:t xml:space="preserve">, MediaTek </w:t>
      </w:r>
      <w:proofErr w:type="spellStart"/>
      <w:r w:rsidRPr="00B30A10">
        <w:rPr>
          <w:sz w:val="20"/>
          <w:szCs w:val="20"/>
          <w:lang w:val="en-GB"/>
        </w:rPr>
        <w:t>inc</w:t>
      </w:r>
      <w:proofErr w:type="spellEnd"/>
      <w:r w:rsidRPr="00B30A10">
        <w:rPr>
          <w:sz w:val="20"/>
          <w:szCs w:val="20"/>
          <w:lang w:val="en-GB"/>
        </w:rPr>
        <w:tab/>
        <w:t>CR</w:t>
      </w:r>
      <w:r w:rsidRPr="00B30A10">
        <w:rPr>
          <w:sz w:val="20"/>
          <w:szCs w:val="20"/>
          <w:lang w:val="en-GB"/>
        </w:rPr>
        <w:tab/>
        <w:t>Rel-17</w:t>
      </w:r>
      <w:r w:rsidRPr="00B30A10">
        <w:rPr>
          <w:sz w:val="20"/>
          <w:szCs w:val="20"/>
          <w:lang w:val="en-GB"/>
        </w:rPr>
        <w:tab/>
        <w:t>38.306</w:t>
      </w:r>
      <w:r w:rsidRPr="00B30A10">
        <w:rPr>
          <w:sz w:val="20"/>
          <w:szCs w:val="20"/>
          <w:lang w:val="en-GB"/>
        </w:rPr>
        <w:tab/>
        <w:t>17.4.0</w:t>
      </w:r>
      <w:r w:rsidRPr="00B30A10">
        <w:rPr>
          <w:sz w:val="20"/>
          <w:szCs w:val="20"/>
          <w:lang w:val="en-GB"/>
        </w:rPr>
        <w:tab/>
        <w:t>0929</w:t>
      </w:r>
      <w:r w:rsidRPr="00B30A10">
        <w:rPr>
          <w:sz w:val="20"/>
          <w:szCs w:val="20"/>
          <w:lang w:val="en-GB"/>
        </w:rPr>
        <w:tab/>
        <w:t>-</w:t>
      </w:r>
      <w:r w:rsidRPr="00B30A10">
        <w:rPr>
          <w:sz w:val="20"/>
          <w:szCs w:val="20"/>
          <w:lang w:val="en-GB"/>
        </w:rPr>
        <w:tab/>
        <w:t>A</w:t>
      </w:r>
      <w:r w:rsidRPr="00B30A10">
        <w:rPr>
          <w:sz w:val="20"/>
          <w:szCs w:val="20"/>
          <w:lang w:val="en-GB"/>
        </w:rPr>
        <w:tab/>
        <w:t xml:space="preserve">TEI17, </w:t>
      </w:r>
      <w:proofErr w:type="spellStart"/>
      <w:r w:rsidRPr="00B30A10">
        <w:rPr>
          <w:sz w:val="20"/>
          <w:szCs w:val="20"/>
          <w:lang w:val="en-GB"/>
        </w:rPr>
        <w:t>NR_newRAT</w:t>
      </w:r>
      <w:proofErr w:type="spellEnd"/>
      <w:r w:rsidRPr="00B30A10">
        <w:rPr>
          <w:sz w:val="20"/>
          <w:szCs w:val="20"/>
          <w:lang w:val="en-GB"/>
        </w:rPr>
        <w:t>-Core</w:t>
      </w:r>
    </w:p>
    <w:p w14:paraId="4C52A3E1" w14:textId="7C1658D3" w:rsidR="003C137D" w:rsidRPr="00B30A10" w:rsidRDefault="003C137D" w:rsidP="00B30A10">
      <w:pPr>
        <w:keepNext/>
        <w:keepLines/>
        <w:widowControl/>
        <w:pBdr>
          <w:top w:val="single" w:sz="12" w:space="1" w:color="auto"/>
        </w:pBdr>
        <w:tabs>
          <w:tab w:val="left" w:pos="567"/>
        </w:tabs>
        <w:adjustRightInd w:val="0"/>
        <w:snapToGrid w:val="0"/>
        <w:spacing w:after="0" w:line="288" w:lineRule="auto"/>
        <w:ind w:left="510" w:hanging="510"/>
        <w:rPr>
          <w:sz w:val="20"/>
          <w:szCs w:val="20"/>
          <w:lang w:val="en-GB"/>
        </w:rPr>
      </w:pPr>
      <w:r w:rsidRPr="00B30A10">
        <w:rPr>
          <w:sz w:val="20"/>
          <w:szCs w:val="20"/>
        </w:rPr>
        <w:t>[7]</w:t>
      </w:r>
      <w:r w:rsidRPr="00B30A10">
        <w:rPr>
          <w:sz w:val="20"/>
          <w:szCs w:val="20"/>
        </w:rPr>
        <w:tab/>
      </w:r>
      <w:r w:rsidRPr="00B30A10">
        <w:rPr>
          <w:sz w:val="20"/>
          <w:szCs w:val="20"/>
          <w:lang w:val="en-GB"/>
        </w:rPr>
        <w:t>R2-2306885</w:t>
      </w:r>
      <w:r w:rsidRPr="00B30A10">
        <w:rPr>
          <w:sz w:val="20"/>
          <w:szCs w:val="20"/>
          <w:lang w:val="en-GB"/>
        </w:rPr>
        <w:tab/>
        <w:t>Introduction of intra-band EN-DC contiguous capability for UL</w:t>
      </w:r>
      <w:r w:rsidRPr="00B30A10">
        <w:rPr>
          <w:sz w:val="20"/>
          <w:szCs w:val="20"/>
          <w:lang w:val="en-GB"/>
        </w:rPr>
        <w:tab/>
        <w:t xml:space="preserve">Huawei, HiSilicon, Nokia, Nokia Shanghai Bell, Qualcomm Incorporated, Intel Corporation, ZTE Corporation, </w:t>
      </w:r>
      <w:proofErr w:type="spellStart"/>
      <w:r w:rsidRPr="00B30A10">
        <w:rPr>
          <w:sz w:val="20"/>
          <w:szCs w:val="20"/>
          <w:lang w:val="en-GB"/>
        </w:rPr>
        <w:t>Sanechips</w:t>
      </w:r>
      <w:proofErr w:type="spellEnd"/>
      <w:r w:rsidRPr="00B30A10">
        <w:rPr>
          <w:sz w:val="20"/>
          <w:szCs w:val="20"/>
          <w:lang w:val="en-GB"/>
        </w:rPr>
        <w:t xml:space="preserve">, MediaTek </w:t>
      </w:r>
      <w:proofErr w:type="spellStart"/>
      <w:r w:rsidRPr="00B30A10">
        <w:rPr>
          <w:sz w:val="20"/>
          <w:szCs w:val="20"/>
          <w:lang w:val="en-GB"/>
        </w:rPr>
        <w:t>inc</w:t>
      </w:r>
      <w:proofErr w:type="spellEnd"/>
      <w:r w:rsidRPr="00B30A10">
        <w:rPr>
          <w:sz w:val="20"/>
          <w:szCs w:val="20"/>
          <w:lang w:val="en-GB"/>
        </w:rPr>
        <w:tab/>
        <w:t>CR</w:t>
      </w:r>
      <w:r w:rsidRPr="00B30A10">
        <w:rPr>
          <w:sz w:val="20"/>
          <w:szCs w:val="20"/>
          <w:lang w:val="en-GB"/>
        </w:rPr>
        <w:tab/>
        <w:t>Rel-15</w:t>
      </w:r>
      <w:r w:rsidRPr="00B30A10">
        <w:rPr>
          <w:sz w:val="20"/>
          <w:szCs w:val="20"/>
          <w:lang w:val="en-GB"/>
        </w:rPr>
        <w:tab/>
        <w:t>38.331</w:t>
      </w:r>
      <w:r w:rsidRPr="00B30A10">
        <w:rPr>
          <w:sz w:val="20"/>
          <w:szCs w:val="20"/>
          <w:lang w:val="en-GB"/>
        </w:rPr>
        <w:tab/>
        <w:t>15.21.0</w:t>
      </w:r>
      <w:r w:rsidRPr="00B30A10">
        <w:rPr>
          <w:sz w:val="20"/>
          <w:szCs w:val="20"/>
          <w:lang w:val="en-GB"/>
        </w:rPr>
        <w:tab/>
        <w:t>4156</w:t>
      </w:r>
      <w:r w:rsidRPr="00B30A10">
        <w:rPr>
          <w:sz w:val="20"/>
          <w:szCs w:val="20"/>
          <w:lang w:val="en-GB"/>
        </w:rPr>
        <w:tab/>
        <w:t>1</w:t>
      </w:r>
      <w:r w:rsidRPr="00B30A10">
        <w:rPr>
          <w:sz w:val="20"/>
          <w:szCs w:val="20"/>
          <w:lang w:val="en-GB"/>
        </w:rPr>
        <w:tab/>
        <w:t>B</w:t>
      </w:r>
      <w:r w:rsidRPr="00B30A10">
        <w:rPr>
          <w:sz w:val="20"/>
          <w:szCs w:val="20"/>
          <w:lang w:val="en-GB"/>
        </w:rPr>
        <w:tab/>
        <w:t xml:space="preserve">TEI17, </w:t>
      </w:r>
      <w:proofErr w:type="spellStart"/>
      <w:r w:rsidRPr="00B30A10">
        <w:rPr>
          <w:sz w:val="20"/>
          <w:szCs w:val="20"/>
          <w:lang w:val="en-GB"/>
        </w:rPr>
        <w:t>NR_newRAT</w:t>
      </w:r>
      <w:proofErr w:type="spellEnd"/>
      <w:r w:rsidRPr="00B30A10">
        <w:rPr>
          <w:sz w:val="20"/>
          <w:szCs w:val="20"/>
          <w:lang w:val="en-GB"/>
        </w:rPr>
        <w:t>-Core</w:t>
      </w:r>
    </w:p>
    <w:p w14:paraId="005A8480" w14:textId="52C6B0A0" w:rsidR="003C137D" w:rsidRPr="00B30A10" w:rsidRDefault="003C137D" w:rsidP="00B30A10">
      <w:pPr>
        <w:keepNext/>
        <w:keepLines/>
        <w:widowControl/>
        <w:pBdr>
          <w:top w:val="single" w:sz="12" w:space="1" w:color="auto"/>
        </w:pBdr>
        <w:tabs>
          <w:tab w:val="left" w:pos="567"/>
        </w:tabs>
        <w:adjustRightInd w:val="0"/>
        <w:snapToGrid w:val="0"/>
        <w:spacing w:after="0" w:line="288" w:lineRule="auto"/>
        <w:ind w:left="510" w:hanging="510"/>
        <w:rPr>
          <w:sz w:val="20"/>
          <w:szCs w:val="20"/>
          <w:lang w:val="en-GB"/>
        </w:rPr>
      </w:pPr>
      <w:r w:rsidRPr="00B30A10">
        <w:rPr>
          <w:sz w:val="20"/>
          <w:szCs w:val="20"/>
        </w:rPr>
        <w:t>[8]</w:t>
      </w:r>
      <w:r w:rsidRPr="00B30A10">
        <w:rPr>
          <w:sz w:val="20"/>
          <w:szCs w:val="20"/>
        </w:rPr>
        <w:tab/>
      </w:r>
      <w:r w:rsidRPr="00B30A10">
        <w:rPr>
          <w:sz w:val="20"/>
          <w:szCs w:val="20"/>
          <w:lang w:val="en-GB"/>
        </w:rPr>
        <w:t>R2-2306886</w:t>
      </w:r>
      <w:r w:rsidRPr="00B30A10">
        <w:rPr>
          <w:sz w:val="20"/>
          <w:szCs w:val="20"/>
          <w:lang w:val="en-GB"/>
        </w:rPr>
        <w:tab/>
        <w:t>Introduction of intra-band EN-DC contiguous capability for UL</w:t>
      </w:r>
      <w:r w:rsidRPr="00B30A10">
        <w:rPr>
          <w:sz w:val="20"/>
          <w:szCs w:val="20"/>
          <w:lang w:val="en-GB"/>
        </w:rPr>
        <w:tab/>
        <w:t xml:space="preserve">Huawei, HiSilicon, Nokia, Nokia Shanghai Bell, Qualcomm Incorporated, Intel Corporation, ZTE Corporation, </w:t>
      </w:r>
      <w:proofErr w:type="spellStart"/>
      <w:r w:rsidRPr="00B30A10">
        <w:rPr>
          <w:sz w:val="20"/>
          <w:szCs w:val="20"/>
          <w:lang w:val="en-GB"/>
        </w:rPr>
        <w:t>Sanechips</w:t>
      </w:r>
      <w:proofErr w:type="spellEnd"/>
      <w:r w:rsidRPr="00B30A10">
        <w:rPr>
          <w:sz w:val="20"/>
          <w:szCs w:val="20"/>
          <w:lang w:val="en-GB"/>
        </w:rPr>
        <w:t xml:space="preserve">, MediaTek </w:t>
      </w:r>
      <w:proofErr w:type="spellStart"/>
      <w:r w:rsidRPr="00B30A10">
        <w:rPr>
          <w:sz w:val="20"/>
          <w:szCs w:val="20"/>
          <w:lang w:val="en-GB"/>
        </w:rPr>
        <w:t>inc</w:t>
      </w:r>
      <w:proofErr w:type="spellEnd"/>
      <w:r w:rsidRPr="00B30A10">
        <w:rPr>
          <w:sz w:val="20"/>
          <w:szCs w:val="20"/>
          <w:lang w:val="en-GB"/>
        </w:rPr>
        <w:tab/>
        <w:t>CR</w:t>
      </w:r>
      <w:r w:rsidRPr="00B30A10">
        <w:rPr>
          <w:sz w:val="20"/>
          <w:szCs w:val="20"/>
          <w:lang w:val="en-GB"/>
        </w:rPr>
        <w:tab/>
        <w:t>Rel-16</w:t>
      </w:r>
      <w:r w:rsidRPr="00B30A10">
        <w:rPr>
          <w:sz w:val="20"/>
          <w:szCs w:val="20"/>
          <w:lang w:val="en-GB"/>
        </w:rPr>
        <w:tab/>
        <w:t>38.331</w:t>
      </w:r>
      <w:r w:rsidRPr="00B30A10">
        <w:rPr>
          <w:sz w:val="20"/>
          <w:szCs w:val="20"/>
          <w:lang w:val="en-GB"/>
        </w:rPr>
        <w:tab/>
        <w:t>16.12.0</w:t>
      </w:r>
      <w:r w:rsidRPr="00B30A10">
        <w:rPr>
          <w:sz w:val="20"/>
          <w:szCs w:val="20"/>
          <w:lang w:val="en-GB"/>
        </w:rPr>
        <w:tab/>
        <w:t>4157</w:t>
      </w:r>
      <w:r w:rsidRPr="00B30A10">
        <w:rPr>
          <w:sz w:val="20"/>
          <w:szCs w:val="20"/>
          <w:lang w:val="en-GB"/>
        </w:rPr>
        <w:tab/>
        <w:t>1</w:t>
      </w:r>
      <w:r w:rsidRPr="00B30A10">
        <w:rPr>
          <w:sz w:val="20"/>
          <w:szCs w:val="20"/>
          <w:lang w:val="en-GB"/>
        </w:rPr>
        <w:tab/>
        <w:t>A</w:t>
      </w:r>
      <w:r w:rsidRPr="00B30A10">
        <w:rPr>
          <w:sz w:val="20"/>
          <w:szCs w:val="20"/>
          <w:lang w:val="en-GB"/>
        </w:rPr>
        <w:tab/>
        <w:t xml:space="preserve">TEI17, </w:t>
      </w:r>
      <w:proofErr w:type="spellStart"/>
      <w:r w:rsidRPr="00B30A10">
        <w:rPr>
          <w:sz w:val="20"/>
          <w:szCs w:val="20"/>
          <w:lang w:val="en-GB"/>
        </w:rPr>
        <w:t>NR_newRAT</w:t>
      </w:r>
      <w:proofErr w:type="spellEnd"/>
      <w:r w:rsidRPr="00B30A10">
        <w:rPr>
          <w:sz w:val="20"/>
          <w:szCs w:val="20"/>
          <w:lang w:val="en-GB"/>
        </w:rPr>
        <w:t>-Core</w:t>
      </w:r>
    </w:p>
    <w:p w14:paraId="2B72DA12" w14:textId="6916D229" w:rsidR="003C137D" w:rsidRPr="00B30A10" w:rsidRDefault="003C137D" w:rsidP="00B30A10">
      <w:pPr>
        <w:keepNext/>
        <w:keepLines/>
        <w:widowControl/>
        <w:pBdr>
          <w:top w:val="single" w:sz="12" w:space="1" w:color="auto"/>
        </w:pBdr>
        <w:tabs>
          <w:tab w:val="left" w:pos="567"/>
        </w:tabs>
        <w:adjustRightInd w:val="0"/>
        <w:snapToGrid w:val="0"/>
        <w:spacing w:after="0" w:line="288" w:lineRule="auto"/>
        <w:ind w:left="510" w:hanging="510"/>
        <w:rPr>
          <w:sz w:val="20"/>
          <w:szCs w:val="20"/>
          <w:lang w:val="en-GB"/>
        </w:rPr>
      </w:pPr>
      <w:r w:rsidRPr="00B30A10">
        <w:rPr>
          <w:sz w:val="20"/>
          <w:szCs w:val="20"/>
        </w:rPr>
        <w:t>[9]</w:t>
      </w:r>
      <w:r w:rsidRPr="00B30A10">
        <w:rPr>
          <w:sz w:val="20"/>
          <w:szCs w:val="20"/>
        </w:rPr>
        <w:tab/>
      </w:r>
      <w:r w:rsidRPr="00B30A10">
        <w:rPr>
          <w:sz w:val="20"/>
          <w:szCs w:val="20"/>
          <w:lang w:val="en-GB"/>
        </w:rPr>
        <w:t>R2-2306921</w:t>
      </w:r>
      <w:r w:rsidRPr="00B30A10">
        <w:rPr>
          <w:sz w:val="20"/>
          <w:szCs w:val="20"/>
          <w:lang w:val="en-GB"/>
        </w:rPr>
        <w:tab/>
        <w:t>Introduction of intra-band EN-DC contiguous capability for UL</w:t>
      </w:r>
      <w:r w:rsidRPr="00B30A10">
        <w:rPr>
          <w:sz w:val="20"/>
          <w:szCs w:val="20"/>
          <w:lang w:val="en-GB"/>
        </w:rPr>
        <w:tab/>
        <w:t xml:space="preserve">Huawei, HiSilicon, Nokia, Nokia Shanghai Bell, Qualcomm Incorporated, Intel Corporation, ZTE Corporation, </w:t>
      </w:r>
      <w:proofErr w:type="spellStart"/>
      <w:r w:rsidRPr="00B30A10">
        <w:rPr>
          <w:sz w:val="20"/>
          <w:szCs w:val="20"/>
          <w:lang w:val="en-GB"/>
        </w:rPr>
        <w:t>Sanechips</w:t>
      </w:r>
      <w:proofErr w:type="spellEnd"/>
      <w:r w:rsidRPr="00B30A10">
        <w:rPr>
          <w:sz w:val="20"/>
          <w:szCs w:val="20"/>
          <w:lang w:val="en-GB"/>
        </w:rPr>
        <w:t xml:space="preserve">, MediaTek </w:t>
      </w:r>
      <w:proofErr w:type="spellStart"/>
      <w:r w:rsidRPr="00B30A10">
        <w:rPr>
          <w:sz w:val="20"/>
          <w:szCs w:val="20"/>
          <w:lang w:val="en-GB"/>
        </w:rPr>
        <w:t>inc</w:t>
      </w:r>
      <w:proofErr w:type="spellEnd"/>
      <w:r w:rsidRPr="00B30A10">
        <w:rPr>
          <w:sz w:val="20"/>
          <w:szCs w:val="20"/>
          <w:lang w:val="en-GB"/>
        </w:rPr>
        <w:tab/>
        <w:t>CR</w:t>
      </w:r>
      <w:r w:rsidRPr="00B30A10">
        <w:rPr>
          <w:sz w:val="20"/>
          <w:szCs w:val="20"/>
          <w:lang w:val="en-GB"/>
        </w:rPr>
        <w:tab/>
        <w:t>Rel-17</w:t>
      </w:r>
      <w:r w:rsidRPr="00B30A10">
        <w:rPr>
          <w:sz w:val="20"/>
          <w:szCs w:val="20"/>
          <w:lang w:val="en-GB"/>
        </w:rPr>
        <w:tab/>
        <w:t>38.331</w:t>
      </w:r>
      <w:r w:rsidRPr="00B30A10">
        <w:rPr>
          <w:sz w:val="20"/>
          <w:szCs w:val="20"/>
          <w:lang w:val="en-GB"/>
        </w:rPr>
        <w:tab/>
        <w:t>17.4.0</w:t>
      </w:r>
      <w:r w:rsidRPr="00B30A10">
        <w:rPr>
          <w:sz w:val="20"/>
          <w:szCs w:val="20"/>
          <w:lang w:val="en-GB"/>
        </w:rPr>
        <w:tab/>
        <w:t>4158</w:t>
      </w:r>
      <w:r w:rsidRPr="00B30A10">
        <w:rPr>
          <w:sz w:val="20"/>
          <w:szCs w:val="20"/>
          <w:lang w:val="en-GB"/>
        </w:rPr>
        <w:tab/>
        <w:t>2</w:t>
      </w:r>
      <w:r w:rsidRPr="00B30A10">
        <w:rPr>
          <w:sz w:val="20"/>
          <w:szCs w:val="20"/>
          <w:lang w:val="en-GB"/>
        </w:rPr>
        <w:tab/>
        <w:t>A</w:t>
      </w:r>
      <w:r w:rsidRPr="00B30A10">
        <w:rPr>
          <w:sz w:val="20"/>
          <w:szCs w:val="20"/>
          <w:lang w:val="en-GB"/>
        </w:rPr>
        <w:tab/>
        <w:t xml:space="preserve">TEI17, </w:t>
      </w:r>
      <w:proofErr w:type="spellStart"/>
      <w:r w:rsidRPr="00B30A10">
        <w:rPr>
          <w:sz w:val="20"/>
          <w:szCs w:val="20"/>
          <w:lang w:val="en-GB"/>
        </w:rPr>
        <w:t>NR_newRAT</w:t>
      </w:r>
      <w:proofErr w:type="spellEnd"/>
      <w:r w:rsidRPr="00B30A10">
        <w:rPr>
          <w:sz w:val="20"/>
          <w:szCs w:val="20"/>
          <w:lang w:val="en-GB"/>
        </w:rPr>
        <w:t>-Core</w:t>
      </w:r>
    </w:p>
    <w:p w14:paraId="32065E5A" w14:textId="27377F26" w:rsidR="00815151" w:rsidRPr="00B30A10" w:rsidRDefault="00C32AF4" w:rsidP="00B30A10">
      <w:pPr>
        <w:keepNext/>
        <w:keepLines/>
        <w:widowControl/>
        <w:pBdr>
          <w:top w:val="single" w:sz="12" w:space="1" w:color="auto"/>
        </w:pBdr>
        <w:tabs>
          <w:tab w:val="left" w:pos="567"/>
        </w:tabs>
        <w:adjustRightInd w:val="0"/>
        <w:snapToGrid w:val="0"/>
        <w:spacing w:after="0" w:line="288" w:lineRule="auto"/>
        <w:ind w:left="510" w:hanging="510"/>
        <w:rPr>
          <w:sz w:val="20"/>
          <w:szCs w:val="20"/>
        </w:rPr>
      </w:pPr>
      <w:r w:rsidRPr="00B30A10">
        <w:rPr>
          <w:sz w:val="20"/>
          <w:szCs w:val="20"/>
        </w:rPr>
        <w:t>[</w:t>
      </w:r>
      <w:r w:rsidR="00443246" w:rsidRPr="00B30A10">
        <w:rPr>
          <w:sz w:val="20"/>
          <w:szCs w:val="20"/>
        </w:rPr>
        <w:t>10</w:t>
      </w:r>
      <w:r w:rsidRPr="00B30A10">
        <w:rPr>
          <w:sz w:val="20"/>
          <w:szCs w:val="20"/>
        </w:rPr>
        <w:t xml:space="preserve">]  </w:t>
      </w:r>
      <w:r w:rsidR="00815151" w:rsidRPr="00B30A10">
        <w:rPr>
          <w:sz w:val="20"/>
          <w:szCs w:val="20"/>
        </w:rPr>
        <w:t xml:space="preserve">R4-2310493, “CR to 38.101-3 Correction to intra-band EN-DC configuration”, </w:t>
      </w:r>
      <w:r w:rsidR="007E1FEB" w:rsidRPr="00B30A10">
        <w:rPr>
          <w:sz w:val="20"/>
          <w:szCs w:val="20"/>
        </w:rPr>
        <w:t>Huawei, Hisilicon, Nokia, Nokia Shanghai Bell, Xiaomi, OPPO, MediaTek Inc., ZTE Corporation, TSG RAN4 Meeting #107</w:t>
      </w:r>
      <w:r w:rsidR="00941F56" w:rsidRPr="00B30A10">
        <w:rPr>
          <w:sz w:val="20"/>
          <w:szCs w:val="20"/>
        </w:rPr>
        <w:t>.</w:t>
      </w:r>
    </w:p>
    <w:p w14:paraId="60AF6A39" w14:textId="3286E7E5" w:rsidR="00C32AF4" w:rsidRPr="00B30A10" w:rsidRDefault="00633B32" w:rsidP="00B30A10">
      <w:pPr>
        <w:keepNext/>
        <w:keepLines/>
        <w:widowControl/>
        <w:pBdr>
          <w:top w:val="single" w:sz="12" w:space="1" w:color="auto"/>
        </w:pBdr>
        <w:tabs>
          <w:tab w:val="left" w:pos="567"/>
        </w:tabs>
        <w:adjustRightInd w:val="0"/>
        <w:snapToGrid w:val="0"/>
        <w:spacing w:after="0" w:line="288" w:lineRule="auto"/>
        <w:ind w:left="510" w:hanging="510"/>
        <w:rPr>
          <w:sz w:val="20"/>
          <w:szCs w:val="20"/>
        </w:rPr>
      </w:pPr>
      <w:r w:rsidRPr="00B30A10">
        <w:rPr>
          <w:sz w:val="20"/>
          <w:szCs w:val="20"/>
        </w:rPr>
        <w:t>[</w:t>
      </w:r>
      <w:r w:rsidR="00443246" w:rsidRPr="00B30A10">
        <w:rPr>
          <w:sz w:val="20"/>
          <w:szCs w:val="20"/>
        </w:rPr>
        <w:t>11</w:t>
      </w:r>
      <w:r w:rsidRPr="00B30A10">
        <w:rPr>
          <w:sz w:val="20"/>
          <w:szCs w:val="20"/>
        </w:rPr>
        <w:t xml:space="preserve">]  </w:t>
      </w:r>
      <w:r w:rsidR="00C32AF4" w:rsidRPr="00B30A10">
        <w:rPr>
          <w:sz w:val="20"/>
          <w:szCs w:val="20"/>
        </w:rPr>
        <w:t>R4-2303635, “WF on inconsistency issue for intra-band EN-DC band combinations” TSG RAN4 Meeting #106.</w:t>
      </w:r>
    </w:p>
    <w:p w14:paraId="10339387" w14:textId="35B8AD71" w:rsidR="00EB182B" w:rsidRPr="00B30A10" w:rsidRDefault="00EB182B" w:rsidP="00B30A10">
      <w:pPr>
        <w:keepNext/>
        <w:keepLines/>
        <w:widowControl/>
        <w:pBdr>
          <w:top w:val="single" w:sz="12" w:space="1" w:color="auto"/>
        </w:pBdr>
        <w:tabs>
          <w:tab w:val="left" w:pos="567"/>
        </w:tabs>
        <w:adjustRightInd w:val="0"/>
        <w:snapToGrid w:val="0"/>
        <w:spacing w:after="0" w:line="288" w:lineRule="auto"/>
        <w:ind w:left="510" w:hanging="510"/>
        <w:rPr>
          <w:sz w:val="20"/>
          <w:szCs w:val="20"/>
        </w:rPr>
      </w:pPr>
      <w:r w:rsidRPr="00B30A10">
        <w:rPr>
          <w:sz w:val="20"/>
          <w:szCs w:val="20"/>
        </w:rPr>
        <w:t>[</w:t>
      </w:r>
      <w:r w:rsidR="00443246" w:rsidRPr="00B30A10">
        <w:rPr>
          <w:sz w:val="20"/>
          <w:szCs w:val="20"/>
        </w:rPr>
        <w:t>12</w:t>
      </w:r>
      <w:r w:rsidRPr="00B30A10">
        <w:rPr>
          <w:sz w:val="20"/>
          <w:szCs w:val="20"/>
        </w:rPr>
        <w:t>]</w:t>
      </w:r>
      <w:r w:rsidR="00633B32" w:rsidRPr="00B30A10">
        <w:rPr>
          <w:sz w:val="20"/>
          <w:szCs w:val="20"/>
        </w:rPr>
        <w:t xml:space="preserve">  RP-23</w:t>
      </w:r>
      <w:r w:rsidR="00B30A10">
        <w:rPr>
          <w:sz w:val="20"/>
          <w:szCs w:val="20"/>
        </w:rPr>
        <w:t>1327</w:t>
      </w:r>
      <w:r w:rsidR="00633B32" w:rsidRPr="00B30A10">
        <w:rPr>
          <w:sz w:val="20"/>
          <w:szCs w:val="20"/>
        </w:rPr>
        <w:t>, “CR to 38.101-3 Correction on intra-band EN-DC configuration (R16)”, TSG RAN Meeting#100.</w:t>
      </w:r>
    </w:p>
    <w:p w14:paraId="6ED2BF36" w14:textId="39216CED" w:rsidR="00FE3821" w:rsidRPr="00B30A10" w:rsidRDefault="00EB182B" w:rsidP="00B30A10">
      <w:pPr>
        <w:keepNext/>
        <w:keepLines/>
        <w:widowControl/>
        <w:pBdr>
          <w:top w:val="single" w:sz="12" w:space="1" w:color="auto"/>
        </w:pBdr>
        <w:tabs>
          <w:tab w:val="left" w:pos="567"/>
        </w:tabs>
        <w:adjustRightInd w:val="0"/>
        <w:snapToGrid w:val="0"/>
        <w:spacing w:after="0" w:line="288" w:lineRule="auto"/>
        <w:ind w:left="510" w:hanging="510"/>
        <w:rPr>
          <w:sz w:val="20"/>
          <w:szCs w:val="20"/>
        </w:rPr>
      </w:pPr>
      <w:r w:rsidRPr="00B30A10">
        <w:rPr>
          <w:sz w:val="20"/>
          <w:szCs w:val="20"/>
        </w:rPr>
        <w:t>[</w:t>
      </w:r>
      <w:r w:rsidR="00443246" w:rsidRPr="00B30A10">
        <w:rPr>
          <w:sz w:val="20"/>
          <w:szCs w:val="20"/>
        </w:rPr>
        <w:t>13</w:t>
      </w:r>
      <w:r w:rsidRPr="00B30A10">
        <w:rPr>
          <w:sz w:val="20"/>
          <w:szCs w:val="20"/>
        </w:rPr>
        <w:t>]</w:t>
      </w:r>
      <w:r w:rsidR="00633B32" w:rsidRPr="00B30A10">
        <w:rPr>
          <w:sz w:val="20"/>
          <w:szCs w:val="20"/>
        </w:rPr>
        <w:t xml:space="preserve">  </w:t>
      </w:r>
      <w:r w:rsidR="00B30A10">
        <w:rPr>
          <w:sz w:val="20"/>
          <w:szCs w:val="20"/>
        </w:rPr>
        <w:t>RP-231328</w:t>
      </w:r>
      <w:r w:rsidR="00633B32" w:rsidRPr="00B30A10">
        <w:rPr>
          <w:sz w:val="20"/>
          <w:szCs w:val="20"/>
        </w:rPr>
        <w:t>, “CR to 38.101-3 Correction on intra-band EN-DC configuration (R17)”, TSG RAN Meeting#100.</w:t>
      </w:r>
    </w:p>
    <w:p w14:paraId="1999103E" w14:textId="69108831" w:rsidR="0060469B" w:rsidRDefault="00EB182B" w:rsidP="008761A9">
      <w:pPr>
        <w:keepNext/>
        <w:keepLines/>
        <w:widowControl/>
        <w:pBdr>
          <w:top w:val="single" w:sz="12" w:space="1" w:color="auto"/>
        </w:pBdr>
        <w:tabs>
          <w:tab w:val="left" w:pos="567"/>
        </w:tabs>
        <w:adjustRightInd w:val="0"/>
        <w:snapToGrid w:val="0"/>
        <w:spacing w:after="0" w:line="288" w:lineRule="auto"/>
        <w:ind w:left="510" w:hanging="510"/>
        <w:rPr>
          <w:sz w:val="20"/>
          <w:szCs w:val="20"/>
        </w:rPr>
      </w:pPr>
      <w:r w:rsidRPr="00B30A10">
        <w:rPr>
          <w:sz w:val="20"/>
          <w:szCs w:val="20"/>
        </w:rPr>
        <w:t>[</w:t>
      </w:r>
      <w:r w:rsidR="00443246" w:rsidRPr="00B30A10">
        <w:rPr>
          <w:sz w:val="20"/>
          <w:szCs w:val="20"/>
        </w:rPr>
        <w:t>14</w:t>
      </w:r>
      <w:proofErr w:type="gramStart"/>
      <w:r w:rsidRPr="00B30A10">
        <w:rPr>
          <w:sz w:val="20"/>
          <w:szCs w:val="20"/>
        </w:rPr>
        <w:t>]</w:t>
      </w:r>
      <w:r w:rsidR="00633B32" w:rsidRPr="00B30A10">
        <w:rPr>
          <w:sz w:val="20"/>
          <w:szCs w:val="20"/>
        </w:rPr>
        <w:t xml:space="preserve">  </w:t>
      </w:r>
      <w:r w:rsidR="00B30A10">
        <w:rPr>
          <w:sz w:val="20"/>
          <w:szCs w:val="20"/>
        </w:rPr>
        <w:t>RP</w:t>
      </w:r>
      <w:proofErr w:type="gramEnd"/>
      <w:r w:rsidR="00B30A10">
        <w:rPr>
          <w:sz w:val="20"/>
          <w:szCs w:val="20"/>
        </w:rPr>
        <w:t>-231329</w:t>
      </w:r>
      <w:r w:rsidR="00633B32" w:rsidRPr="00B30A10">
        <w:rPr>
          <w:sz w:val="20"/>
          <w:szCs w:val="20"/>
        </w:rPr>
        <w:t>, “CR to 38.101-3 Correction on intra-band EN-DC configuration (R18)”, TSG RAN Meeting#100.</w:t>
      </w:r>
    </w:p>
    <w:sectPr w:rsidR="0060469B" w:rsidSect="00385020">
      <w:headerReference w:type="default" r:id="rId12"/>
      <w:pgSz w:w="11906" w:h="16838"/>
      <w:pgMar w:top="1418" w:right="1134"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F85B9" w14:textId="77777777" w:rsidR="002A3F4B" w:rsidRDefault="002A3F4B" w:rsidP="00D5618B">
      <w:r>
        <w:separator/>
      </w:r>
    </w:p>
  </w:endnote>
  <w:endnote w:type="continuationSeparator" w:id="0">
    <w:p w14:paraId="3E880626" w14:textId="77777777" w:rsidR="002A3F4B" w:rsidRDefault="002A3F4B"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20494" w14:textId="77777777" w:rsidR="002A3F4B" w:rsidRDefault="002A3F4B" w:rsidP="00D5618B">
      <w:r>
        <w:separator/>
      </w:r>
    </w:p>
  </w:footnote>
  <w:footnote w:type="continuationSeparator" w:id="0">
    <w:p w14:paraId="42F0A006" w14:textId="77777777" w:rsidR="002A3F4B" w:rsidRDefault="002A3F4B"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7DA6" w14:textId="77777777" w:rsidR="0008424A" w:rsidRDefault="0008424A">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35D66"/>
    <w:multiLevelType w:val="hybridMultilevel"/>
    <w:tmpl w:val="C43E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E3A10"/>
    <w:multiLevelType w:val="multilevel"/>
    <w:tmpl w:val="B7801F1E"/>
    <w:lvl w:ilvl="0">
      <w:numFmt w:val="bullet"/>
      <w:lvlText w:val="•"/>
      <w:lvlJc w:val="left"/>
      <w:pPr>
        <w:ind w:left="1212" w:hanging="360"/>
      </w:pPr>
      <w:rPr>
        <w:rFonts w:ascii="Times New Roman" w:eastAsia="Times New Roma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22E432B4"/>
    <w:multiLevelType w:val="hybridMultilevel"/>
    <w:tmpl w:val="AC62B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2FA7683F"/>
    <w:multiLevelType w:val="hybridMultilevel"/>
    <w:tmpl w:val="3094F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CB3D18"/>
    <w:multiLevelType w:val="hybridMultilevel"/>
    <w:tmpl w:val="DE282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5300AD"/>
    <w:multiLevelType w:val="hybridMultilevel"/>
    <w:tmpl w:val="EEE8C8E6"/>
    <w:lvl w:ilvl="0" w:tplc="A9326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F069BE"/>
    <w:multiLevelType w:val="hybridMultilevel"/>
    <w:tmpl w:val="8960B5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4C12B2"/>
    <w:multiLevelType w:val="hybridMultilevel"/>
    <w:tmpl w:val="C980E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7048EC"/>
    <w:multiLevelType w:val="hybridMultilevel"/>
    <w:tmpl w:val="7CBCD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4D4300"/>
    <w:multiLevelType w:val="hybridMultilevel"/>
    <w:tmpl w:val="1CFC7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F74EC"/>
    <w:multiLevelType w:val="hybridMultilevel"/>
    <w:tmpl w:val="D1E4A060"/>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65E6361"/>
    <w:multiLevelType w:val="hybridMultilevel"/>
    <w:tmpl w:val="7E2CC0DC"/>
    <w:lvl w:ilvl="0" w:tplc="6D749D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4D5C37"/>
    <w:multiLevelType w:val="hybridMultilevel"/>
    <w:tmpl w:val="756C38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406AC1"/>
    <w:multiLevelType w:val="hybridMultilevel"/>
    <w:tmpl w:val="54523A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29678E"/>
    <w:multiLevelType w:val="hybridMultilevel"/>
    <w:tmpl w:val="EAD46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5B09BA"/>
    <w:multiLevelType w:val="hybridMultilevel"/>
    <w:tmpl w:val="941C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574542"/>
    <w:multiLevelType w:val="hybridMultilevel"/>
    <w:tmpl w:val="782A7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37B6D"/>
    <w:multiLevelType w:val="hybridMultilevel"/>
    <w:tmpl w:val="23B64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18"/>
  </w:num>
  <w:num w:numId="4">
    <w:abstractNumId w:val="6"/>
  </w:num>
  <w:num w:numId="5">
    <w:abstractNumId w:val="8"/>
  </w:num>
  <w:num w:numId="6">
    <w:abstractNumId w:val="22"/>
  </w:num>
  <w:num w:numId="7">
    <w:abstractNumId w:val="7"/>
  </w:num>
  <w:num w:numId="8">
    <w:abstractNumId w:val="21"/>
  </w:num>
  <w:num w:numId="9">
    <w:abstractNumId w:val="13"/>
  </w:num>
  <w:num w:numId="10">
    <w:abstractNumId w:val="2"/>
  </w:num>
  <w:num w:numId="11">
    <w:abstractNumId w:val="11"/>
  </w:num>
  <w:num w:numId="12">
    <w:abstractNumId w:val="10"/>
  </w:num>
  <w:num w:numId="13">
    <w:abstractNumId w:val="4"/>
  </w:num>
  <w:num w:numId="14">
    <w:abstractNumId w:val="9"/>
  </w:num>
  <w:num w:numId="15">
    <w:abstractNumId w:val="25"/>
  </w:num>
  <w:num w:numId="16">
    <w:abstractNumId w:val="30"/>
  </w:num>
  <w:num w:numId="17">
    <w:abstractNumId w:val="14"/>
  </w:num>
  <w:num w:numId="18">
    <w:abstractNumId w:val="28"/>
  </w:num>
  <w:num w:numId="19">
    <w:abstractNumId w:val="5"/>
  </w:num>
  <w:num w:numId="20">
    <w:abstractNumId w:val="26"/>
  </w:num>
  <w:num w:numId="21">
    <w:abstractNumId w:val="16"/>
  </w:num>
  <w:num w:numId="22">
    <w:abstractNumId w:val="15"/>
  </w:num>
  <w:num w:numId="23">
    <w:abstractNumId w:val="0"/>
  </w:num>
  <w:num w:numId="24">
    <w:abstractNumId w:val="3"/>
  </w:num>
  <w:num w:numId="25">
    <w:abstractNumId w:val="24"/>
  </w:num>
  <w:num w:numId="26">
    <w:abstractNumId w:val="1"/>
  </w:num>
  <w:num w:numId="27">
    <w:abstractNumId w:val="23"/>
  </w:num>
  <w:num w:numId="28">
    <w:abstractNumId w:val="20"/>
  </w:num>
  <w:num w:numId="29">
    <w:abstractNumId w:val="27"/>
  </w:num>
  <w:num w:numId="30">
    <w:abstractNumId w:val="19"/>
  </w:num>
  <w:num w:numId="31">
    <w:abstractNumId w:val="29"/>
  </w:num>
  <w:num w:numId="32">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60F"/>
    <w:rsid w:val="000020EC"/>
    <w:rsid w:val="00002C3E"/>
    <w:rsid w:val="00002C4E"/>
    <w:rsid w:val="00002DFE"/>
    <w:rsid w:val="00002FCD"/>
    <w:rsid w:val="0000389F"/>
    <w:rsid w:val="000041CA"/>
    <w:rsid w:val="0000477F"/>
    <w:rsid w:val="00005E84"/>
    <w:rsid w:val="00006174"/>
    <w:rsid w:val="00006196"/>
    <w:rsid w:val="000065E5"/>
    <w:rsid w:val="0001126C"/>
    <w:rsid w:val="00011927"/>
    <w:rsid w:val="00011C3C"/>
    <w:rsid w:val="00012493"/>
    <w:rsid w:val="00012C96"/>
    <w:rsid w:val="000138E6"/>
    <w:rsid w:val="000149E2"/>
    <w:rsid w:val="00014BD8"/>
    <w:rsid w:val="000160EF"/>
    <w:rsid w:val="00016776"/>
    <w:rsid w:val="00016BC2"/>
    <w:rsid w:val="00021DD4"/>
    <w:rsid w:val="0002231B"/>
    <w:rsid w:val="000223C3"/>
    <w:rsid w:val="000224EE"/>
    <w:rsid w:val="00023A89"/>
    <w:rsid w:val="000241CD"/>
    <w:rsid w:val="00024959"/>
    <w:rsid w:val="00024B1D"/>
    <w:rsid w:val="00025E8F"/>
    <w:rsid w:val="00026563"/>
    <w:rsid w:val="00027CAC"/>
    <w:rsid w:val="0003025B"/>
    <w:rsid w:val="00030957"/>
    <w:rsid w:val="000311B7"/>
    <w:rsid w:val="000328EF"/>
    <w:rsid w:val="0003334A"/>
    <w:rsid w:val="0003382E"/>
    <w:rsid w:val="00034492"/>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22FF"/>
    <w:rsid w:val="00062456"/>
    <w:rsid w:val="000628AA"/>
    <w:rsid w:val="00063F77"/>
    <w:rsid w:val="000660F4"/>
    <w:rsid w:val="0006714C"/>
    <w:rsid w:val="00067233"/>
    <w:rsid w:val="00067A37"/>
    <w:rsid w:val="00067A9F"/>
    <w:rsid w:val="00070B68"/>
    <w:rsid w:val="00070E60"/>
    <w:rsid w:val="000726EB"/>
    <w:rsid w:val="000728AA"/>
    <w:rsid w:val="000742E3"/>
    <w:rsid w:val="000746DA"/>
    <w:rsid w:val="00075657"/>
    <w:rsid w:val="00076555"/>
    <w:rsid w:val="00076807"/>
    <w:rsid w:val="00076CAC"/>
    <w:rsid w:val="00077008"/>
    <w:rsid w:val="0007788D"/>
    <w:rsid w:val="000803EE"/>
    <w:rsid w:val="000811BE"/>
    <w:rsid w:val="00081EC1"/>
    <w:rsid w:val="000821A7"/>
    <w:rsid w:val="000826EF"/>
    <w:rsid w:val="00082B6E"/>
    <w:rsid w:val="0008424A"/>
    <w:rsid w:val="0008446F"/>
    <w:rsid w:val="000849ED"/>
    <w:rsid w:val="00084B99"/>
    <w:rsid w:val="00085BA6"/>
    <w:rsid w:val="00085D8F"/>
    <w:rsid w:val="00085E61"/>
    <w:rsid w:val="00086232"/>
    <w:rsid w:val="00087747"/>
    <w:rsid w:val="00087810"/>
    <w:rsid w:val="000902B5"/>
    <w:rsid w:val="00090A5D"/>
    <w:rsid w:val="000915BB"/>
    <w:rsid w:val="00092C18"/>
    <w:rsid w:val="00094958"/>
    <w:rsid w:val="00095D91"/>
    <w:rsid w:val="00097FBD"/>
    <w:rsid w:val="000A01AE"/>
    <w:rsid w:val="000A0963"/>
    <w:rsid w:val="000A0AE8"/>
    <w:rsid w:val="000A0AF7"/>
    <w:rsid w:val="000A0F64"/>
    <w:rsid w:val="000A2EF0"/>
    <w:rsid w:val="000A3424"/>
    <w:rsid w:val="000A3F70"/>
    <w:rsid w:val="000A49BA"/>
    <w:rsid w:val="000A6969"/>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3028"/>
    <w:rsid w:val="000D343F"/>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C2C"/>
    <w:rsid w:val="000F700F"/>
    <w:rsid w:val="000F70C1"/>
    <w:rsid w:val="000F70C8"/>
    <w:rsid w:val="000F70E0"/>
    <w:rsid w:val="000F728B"/>
    <w:rsid w:val="000F750E"/>
    <w:rsid w:val="000F7D73"/>
    <w:rsid w:val="00100284"/>
    <w:rsid w:val="00100638"/>
    <w:rsid w:val="00100D0E"/>
    <w:rsid w:val="00101EC1"/>
    <w:rsid w:val="00102804"/>
    <w:rsid w:val="00102B4D"/>
    <w:rsid w:val="001033DA"/>
    <w:rsid w:val="00105D4F"/>
    <w:rsid w:val="0010628D"/>
    <w:rsid w:val="0010688E"/>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E5D"/>
    <w:rsid w:val="00126293"/>
    <w:rsid w:val="00127576"/>
    <w:rsid w:val="0013029D"/>
    <w:rsid w:val="00130941"/>
    <w:rsid w:val="00131B3F"/>
    <w:rsid w:val="001326C6"/>
    <w:rsid w:val="001330E3"/>
    <w:rsid w:val="00133A12"/>
    <w:rsid w:val="00133BE6"/>
    <w:rsid w:val="0013477E"/>
    <w:rsid w:val="0013511D"/>
    <w:rsid w:val="001358FA"/>
    <w:rsid w:val="00136C7A"/>
    <w:rsid w:val="001377DA"/>
    <w:rsid w:val="00137BE3"/>
    <w:rsid w:val="00137E20"/>
    <w:rsid w:val="00140720"/>
    <w:rsid w:val="00141986"/>
    <w:rsid w:val="001419E2"/>
    <w:rsid w:val="00142427"/>
    <w:rsid w:val="0014248C"/>
    <w:rsid w:val="001426C4"/>
    <w:rsid w:val="00142F49"/>
    <w:rsid w:val="00143120"/>
    <w:rsid w:val="00143F1D"/>
    <w:rsid w:val="00143F40"/>
    <w:rsid w:val="001469A6"/>
    <w:rsid w:val="00146ADC"/>
    <w:rsid w:val="00147B02"/>
    <w:rsid w:val="00150059"/>
    <w:rsid w:val="001502CC"/>
    <w:rsid w:val="00151CDF"/>
    <w:rsid w:val="0015207B"/>
    <w:rsid w:val="001528A5"/>
    <w:rsid w:val="00154994"/>
    <w:rsid w:val="001554DD"/>
    <w:rsid w:val="00155651"/>
    <w:rsid w:val="00155B8D"/>
    <w:rsid w:val="001560D6"/>
    <w:rsid w:val="00156DAC"/>
    <w:rsid w:val="0015707C"/>
    <w:rsid w:val="001606D6"/>
    <w:rsid w:val="00160888"/>
    <w:rsid w:val="001611C4"/>
    <w:rsid w:val="00161662"/>
    <w:rsid w:val="00163A38"/>
    <w:rsid w:val="00165020"/>
    <w:rsid w:val="00165D88"/>
    <w:rsid w:val="00165EDA"/>
    <w:rsid w:val="0016673D"/>
    <w:rsid w:val="0016701F"/>
    <w:rsid w:val="001705B1"/>
    <w:rsid w:val="0017148E"/>
    <w:rsid w:val="00172290"/>
    <w:rsid w:val="001725F0"/>
    <w:rsid w:val="00173048"/>
    <w:rsid w:val="00173CED"/>
    <w:rsid w:val="001741D3"/>
    <w:rsid w:val="00174A0E"/>
    <w:rsid w:val="00180138"/>
    <w:rsid w:val="0018052B"/>
    <w:rsid w:val="00180913"/>
    <w:rsid w:val="00181573"/>
    <w:rsid w:val="00182088"/>
    <w:rsid w:val="00182911"/>
    <w:rsid w:val="00182F03"/>
    <w:rsid w:val="00183E23"/>
    <w:rsid w:val="0018424B"/>
    <w:rsid w:val="00184340"/>
    <w:rsid w:val="00186210"/>
    <w:rsid w:val="00186FBA"/>
    <w:rsid w:val="001871FA"/>
    <w:rsid w:val="0018778C"/>
    <w:rsid w:val="00187A01"/>
    <w:rsid w:val="00190689"/>
    <w:rsid w:val="00191E0E"/>
    <w:rsid w:val="0019276D"/>
    <w:rsid w:val="00194755"/>
    <w:rsid w:val="00194EBD"/>
    <w:rsid w:val="00195377"/>
    <w:rsid w:val="001963A4"/>
    <w:rsid w:val="00197252"/>
    <w:rsid w:val="00197697"/>
    <w:rsid w:val="00197F64"/>
    <w:rsid w:val="001A08E2"/>
    <w:rsid w:val="001A1055"/>
    <w:rsid w:val="001A22BD"/>
    <w:rsid w:val="001A279A"/>
    <w:rsid w:val="001A3034"/>
    <w:rsid w:val="001A32E3"/>
    <w:rsid w:val="001A33BF"/>
    <w:rsid w:val="001A43E9"/>
    <w:rsid w:val="001A4EEC"/>
    <w:rsid w:val="001A59A4"/>
    <w:rsid w:val="001A63AE"/>
    <w:rsid w:val="001A6BB5"/>
    <w:rsid w:val="001B10EC"/>
    <w:rsid w:val="001B135A"/>
    <w:rsid w:val="001B186B"/>
    <w:rsid w:val="001B68D8"/>
    <w:rsid w:val="001B6BBC"/>
    <w:rsid w:val="001B725D"/>
    <w:rsid w:val="001B78DD"/>
    <w:rsid w:val="001B7973"/>
    <w:rsid w:val="001B7CE6"/>
    <w:rsid w:val="001C0A7F"/>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6C6B"/>
    <w:rsid w:val="001D7806"/>
    <w:rsid w:val="001E0606"/>
    <w:rsid w:val="001E15AF"/>
    <w:rsid w:val="001E1E04"/>
    <w:rsid w:val="001E1FCC"/>
    <w:rsid w:val="001E220F"/>
    <w:rsid w:val="001E2427"/>
    <w:rsid w:val="001E2508"/>
    <w:rsid w:val="001E258A"/>
    <w:rsid w:val="001E338A"/>
    <w:rsid w:val="001E4B45"/>
    <w:rsid w:val="001E4BC8"/>
    <w:rsid w:val="001E5085"/>
    <w:rsid w:val="001E5378"/>
    <w:rsid w:val="001E6F56"/>
    <w:rsid w:val="001E71AC"/>
    <w:rsid w:val="001E7AE1"/>
    <w:rsid w:val="001F0900"/>
    <w:rsid w:val="001F1181"/>
    <w:rsid w:val="001F139D"/>
    <w:rsid w:val="001F1745"/>
    <w:rsid w:val="001F17EC"/>
    <w:rsid w:val="001F227B"/>
    <w:rsid w:val="001F2FBC"/>
    <w:rsid w:val="001F6320"/>
    <w:rsid w:val="001F6630"/>
    <w:rsid w:val="0020138B"/>
    <w:rsid w:val="0020155F"/>
    <w:rsid w:val="00201567"/>
    <w:rsid w:val="00202428"/>
    <w:rsid w:val="00203046"/>
    <w:rsid w:val="002030C3"/>
    <w:rsid w:val="00203DEC"/>
    <w:rsid w:val="0020494F"/>
    <w:rsid w:val="00204F93"/>
    <w:rsid w:val="00205677"/>
    <w:rsid w:val="002060CF"/>
    <w:rsid w:val="002068E6"/>
    <w:rsid w:val="002078C7"/>
    <w:rsid w:val="00207C13"/>
    <w:rsid w:val="00211040"/>
    <w:rsid w:val="00211F9F"/>
    <w:rsid w:val="00212427"/>
    <w:rsid w:val="002131E0"/>
    <w:rsid w:val="00213A14"/>
    <w:rsid w:val="00214B90"/>
    <w:rsid w:val="00214D42"/>
    <w:rsid w:val="00215703"/>
    <w:rsid w:val="002159B3"/>
    <w:rsid w:val="00216CA3"/>
    <w:rsid w:val="002210C0"/>
    <w:rsid w:val="002211D8"/>
    <w:rsid w:val="0022171C"/>
    <w:rsid w:val="00221F31"/>
    <w:rsid w:val="00222116"/>
    <w:rsid w:val="00222860"/>
    <w:rsid w:val="00222A08"/>
    <w:rsid w:val="0022300D"/>
    <w:rsid w:val="00223A14"/>
    <w:rsid w:val="00224686"/>
    <w:rsid w:val="00224C40"/>
    <w:rsid w:val="00224E27"/>
    <w:rsid w:val="002264FB"/>
    <w:rsid w:val="00226EC8"/>
    <w:rsid w:val="002314FD"/>
    <w:rsid w:val="002315B7"/>
    <w:rsid w:val="00231AA8"/>
    <w:rsid w:val="00231FF1"/>
    <w:rsid w:val="00233587"/>
    <w:rsid w:val="0023392F"/>
    <w:rsid w:val="00233B01"/>
    <w:rsid w:val="00235FEF"/>
    <w:rsid w:val="002370D6"/>
    <w:rsid w:val="002379D3"/>
    <w:rsid w:val="00237F52"/>
    <w:rsid w:val="002401B1"/>
    <w:rsid w:val="002406C0"/>
    <w:rsid w:val="002408B1"/>
    <w:rsid w:val="002428FE"/>
    <w:rsid w:val="0024293B"/>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0E68"/>
    <w:rsid w:val="002514E5"/>
    <w:rsid w:val="002521CD"/>
    <w:rsid w:val="00252AC2"/>
    <w:rsid w:val="00253AF9"/>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A57"/>
    <w:rsid w:val="00275F0D"/>
    <w:rsid w:val="0027615A"/>
    <w:rsid w:val="00276210"/>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8C1"/>
    <w:rsid w:val="0029022F"/>
    <w:rsid w:val="002922BF"/>
    <w:rsid w:val="0029337A"/>
    <w:rsid w:val="002946D1"/>
    <w:rsid w:val="00294A39"/>
    <w:rsid w:val="00295CDA"/>
    <w:rsid w:val="00296039"/>
    <w:rsid w:val="0029639A"/>
    <w:rsid w:val="002967E4"/>
    <w:rsid w:val="002A0026"/>
    <w:rsid w:val="002A0945"/>
    <w:rsid w:val="002A09B6"/>
    <w:rsid w:val="002A0E94"/>
    <w:rsid w:val="002A317E"/>
    <w:rsid w:val="002A3190"/>
    <w:rsid w:val="002A3F4B"/>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F6"/>
    <w:rsid w:val="002B5B3F"/>
    <w:rsid w:val="002B715D"/>
    <w:rsid w:val="002C098A"/>
    <w:rsid w:val="002C29FD"/>
    <w:rsid w:val="002C3852"/>
    <w:rsid w:val="002C4583"/>
    <w:rsid w:val="002C4601"/>
    <w:rsid w:val="002C59C0"/>
    <w:rsid w:val="002C6F34"/>
    <w:rsid w:val="002C7D1B"/>
    <w:rsid w:val="002D009B"/>
    <w:rsid w:val="002D12B5"/>
    <w:rsid w:val="002D1571"/>
    <w:rsid w:val="002D289B"/>
    <w:rsid w:val="002D356E"/>
    <w:rsid w:val="002D3BC6"/>
    <w:rsid w:val="002D6388"/>
    <w:rsid w:val="002D6937"/>
    <w:rsid w:val="002D6C0A"/>
    <w:rsid w:val="002D6D05"/>
    <w:rsid w:val="002D6F2A"/>
    <w:rsid w:val="002D706F"/>
    <w:rsid w:val="002D726E"/>
    <w:rsid w:val="002D75B8"/>
    <w:rsid w:val="002D7DEE"/>
    <w:rsid w:val="002E061E"/>
    <w:rsid w:val="002E0CA4"/>
    <w:rsid w:val="002E1212"/>
    <w:rsid w:val="002E23B9"/>
    <w:rsid w:val="002E3268"/>
    <w:rsid w:val="002E389B"/>
    <w:rsid w:val="002E3B10"/>
    <w:rsid w:val="002E4D43"/>
    <w:rsid w:val="002E5569"/>
    <w:rsid w:val="002E5905"/>
    <w:rsid w:val="002E5E07"/>
    <w:rsid w:val="002E5F04"/>
    <w:rsid w:val="002E6A83"/>
    <w:rsid w:val="002E767C"/>
    <w:rsid w:val="002F0378"/>
    <w:rsid w:val="002F0C66"/>
    <w:rsid w:val="002F0E6F"/>
    <w:rsid w:val="002F1412"/>
    <w:rsid w:val="002F1ACC"/>
    <w:rsid w:val="002F1D4E"/>
    <w:rsid w:val="002F4775"/>
    <w:rsid w:val="002F4B9F"/>
    <w:rsid w:val="002F52C9"/>
    <w:rsid w:val="002F6EBC"/>
    <w:rsid w:val="002F7E7F"/>
    <w:rsid w:val="0030020A"/>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B5"/>
    <w:rsid w:val="003300C5"/>
    <w:rsid w:val="00330D7C"/>
    <w:rsid w:val="003316DF"/>
    <w:rsid w:val="003320BB"/>
    <w:rsid w:val="003325D1"/>
    <w:rsid w:val="0033276D"/>
    <w:rsid w:val="00333F99"/>
    <w:rsid w:val="003348A0"/>
    <w:rsid w:val="00334A89"/>
    <w:rsid w:val="0033563C"/>
    <w:rsid w:val="003365DA"/>
    <w:rsid w:val="00336C28"/>
    <w:rsid w:val="00337A7F"/>
    <w:rsid w:val="00340045"/>
    <w:rsid w:val="00340531"/>
    <w:rsid w:val="0034101C"/>
    <w:rsid w:val="00341BB8"/>
    <w:rsid w:val="00341CE1"/>
    <w:rsid w:val="003420CF"/>
    <w:rsid w:val="00342755"/>
    <w:rsid w:val="00343705"/>
    <w:rsid w:val="00343CB6"/>
    <w:rsid w:val="003441E4"/>
    <w:rsid w:val="00344914"/>
    <w:rsid w:val="0034498B"/>
    <w:rsid w:val="00345281"/>
    <w:rsid w:val="0034578A"/>
    <w:rsid w:val="003458DD"/>
    <w:rsid w:val="00345D3B"/>
    <w:rsid w:val="00346FB0"/>
    <w:rsid w:val="00347607"/>
    <w:rsid w:val="003476FF"/>
    <w:rsid w:val="00350420"/>
    <w:rsid w:val="00350D07"/>
    <w:rsid w:val="003512E8"/>
    <w:rsid w:val="0035206D"/>
    <w:rsid w:val="003532FA"/>
    <w:rsid w:val="003542AC"/>
    <w:rsid w:val="0035490F"/>
    <w:rsid w:val="00355F30"/>
    <w:rsid w:val="0035729A"/>
    <w:rsid w:val="00360585"/>
    <w:rsid w:val="00361A27"/>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2082"/>
    <w:rsid w:val="003741FD"/>
    <w:rsid w:val="00374AF0"/>
    <w:rsid w:val="003757CF"/>
    <w:rsid w:val="00375D11"/>
    <w:rsid w:val="00376121"/>
    <w:rsid w:val="003779F7"/>
    <w:rsid w:val="00377AB0"/>
    <w:rsid w:val="003805A0"/>
    <w:rsid w:val="003820B9"/>
    <w:rsid w:val="00382D05"/>
    <w:rsid w:val="00383660"/>
    <w:rsid w:val="003836CF"/>
    <w:rsid w:val="00383798"/>
    <w:rsid w:val="00384076"/>
    <w:rsid w:val="00384DEC"/>
    <w:rsid w:val="00385020"/>
    <w:rsid w:val="003868C5"/>
    <w:rsid w:val="0039099D"/>
    <w:rsid w:val="003916B5"/>
    <w:rsid w:val="0039181B"/>
    <w:rsid w:val="00392BAD"/>
    <w:rsid w:val="003934F2"/>
    <w:rsid w:val="00394CDD"/>
    <w:rsid w:val="00395100"/>
    <w:rsid w:val="00395ABA"/>
    <w:rsid w:val="00395B8C"/>
    <w:rsid w:val="0039637C"/>
    <w:rsid w:val="00396D76"/>
    <w:rsid w:val="00397198"/>
    <w:rsid w:val="00397BAF"/>
    <w:rsid w:val="003A07B8"/>
    <w:rsid w:val="003A1C5A"/>
    <w:rsid w:val="003A49DF"/>
    <w:rsid w:val="003A4F03"/>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0F98"/>
    <w:rsid w:val="003C137D"/>
    <w:rsid w:val="003C139C"/>
    <w:rsid w:val="003C261C"/>
    <w:rsid w:val="003C27C4"/>
    <w:rsid w:val="003C28A5"/>
    <w:rsid w:val="003C2F55"/>
    <w:rsid w:val="003C347D"/>
    <w:rsid w:val="003C466D"/>
    <w:rsid w:val="003C47DC"/>
    <w:rsid w:val="003C57A7"/>
    <w:rsid w:val="003C6757"/>
    <w:rsid w:val="003C6A82"/>
    <w:rsid w:val="003C7A12"/>
    <w:rsid w:val="003C7B4D"/>
    <w:rsid w:val="003D2ADD"/>
    <w:rsid w:val="003D38C7"/>
    <w:rsid w:val="003D3A57"/>
    <w:rsid w:val="003D3A7F"/>
    <w:rsid w:val="003D5386"/>
    <w:rsid w:val="003D6970"/>
    <w:rsid w:val="003E0160"/>
    <w:rsid w:val="003E0EB8"/>
    <w:rsid w:val="003E10D8"/>
    <w:rsid w:val="003E117E"/>
    <w:rsid w:val="003E17AD"/>
    <w:rsid w:val="003E1DD6"/>
    <w:rsid w:val="003E277F"/>
    <w:rsid w:val="003E309D"/>
    <w:rsid w:val="003E5868"/>
    <w:rsid w:val="003E58D6"/>
    <w:rsid w:val="003E5A30"/>
    <w:rsid w:val="003E5EF2"/>
    <w:rsid w:val="003E6B17"/>
    <w:rsid w:val="003E7BAA"/>
    <w:rsid w:val="003E7F0E"/>
    <w:rsid w:val="003F00D7"/>
    <w:rsid w:val="003F1C84"/>
    <w:rsid w:val="003F1D35"/>
    <w:rsid w:val="003F2035"/>
    <w:rsid w:val="003F2587"/>
    <w:rsid w:val="003F42A4"/>
    <w:rsid w:val="003F51E3"/>
    <w:rsid w:val="003F79A2"/>
    <w:rsid w:val="003F7F29"/>
    <w:rsid w:val="0040169F"/>
    <w:rsid w:val="004017E5"/>
    <w:rsid w:val="004033F8"/>
    <w:rsid w:val="00403E79"/>
    <w:rsid w:val="00403F2A"/>
    <w:rsid w:val="0040406D"/>
    <w:rsid w:val="004049AA"/>
    <w:rsid w:val="00405536"/>
    <w:rsid w:val="00407AE6"/>
    <w:rsid w:val="004100DE"/>
    <w:rsid w:val="00410B17"/>
    <w:rsid w:val="00410EAF"/>
    <w:rsid w:val="004111A1"/>
    <w:rsid w:val="004119D3"/>
    <w:rsid w:val="00411B75"/>
    <w:rsid w:val="00413198"/>
    <w:rsid w:val="004161E4"/>
    <w:rsid w:val="0041689A"/>
    <w:rsid w:val="00416C02"/>
    <w:rsid w:val="00416DB1"/>
    <w:rsid w:val="004175A3"/>
    <w:rsid w:val="00417A3F"/>
    <w:rsid w:val="00417DB5"/>
    <w:rsid w:val="004206E1"/>
    <w:rsid w:val="004207F8"/>
    <w:rsid w:val="004220D7"/>
    <w:rsid w:val="00422DCE"/>
    <w:rsid w:val="004252C5"/>
    <w:rsid w:val="004259E8"/>
    <w:rsid w:val="0042755E"/>
    <w:rsid w:val="004276A4"/>
    <w:rsid w:val="0042784A"/>
    <w:rsid w:val="00427A81"/>
    <w:rsid w:val="00427D11"/>
    <w:rsid w:val="0043006D"/>
    <w:rsid w:val="00430A60"/>
    <w:rsid w:val="00431546"/>
    <w:rsid w:val="00432EB4"/>
    <w:rsid w:val="00434694"/>
    <w:rsid w:val="00434E36"/>
    <w:rsid w:val="004354E1"/>
    <w:rsid w:val="00436FBA"/>
    <w:rsid w:val="00437BD1"/>
    <w:rsid w:val="00440184"/>
    <w:rsid w:val="0044165B"/>
    <w:rsid w:val="0044191B"/>
    <w:rsid w:val="00441B32"/>
    <w:rsid w:val="00443246"/>
    <w:rsid w:val="0044386A"/>
    <w:rsid w:val="00443A65"/>
    <w:rsid w:val="00443AA8"/>
    <w:rsid w:val="00444129"/>
    <w:rsid w:val="0044454A"/>
    <w:rsid w:val="00445856"/>
    <w:rsid w:val="00450AB2"/>
    <w:rsid w:val="00452D97"/>
    <w:rsid w:val="00452DD3"/>
    <w:rsid w:val="00452E40"/>
    <w:rsid w:val="004541E1"/>
    <w:rsid w:val="00454B6C"/>
    <w:rsid w:val="00455176"/>
    <w:rsid w:val="004556A4"/>
    <w:rsid w:val="00456965"/>
    <w:rsid w:val="004574BC"/>
    <w:rsid w:val="00457CAE"/>
    <w:rsid w:val="004601DD"/>
    <w:rsid w:val="0046114F"/>
    <w:rsid w:val="00461E88"/>
    <w:rsid w:val="00461F16"/>
    <w:rsid w:val="0046318B"/>
    <w:rsid w:val="0046330A"/>
    <w:rsid w:val="00463461"/>
    <w:rsid w:val="004640AB"/>
    <w:rsid w:val="0046461C"/>
    <w:rsid w:val="00464FCF"/>
    <w:rsid w:val="00465531"/>
    <w:rsid w:val="004666F1"/>
    <w:rsid w:val="0046682E"/>
    <w:rsid w:val="0046799D"/>
    <w:rsid w:val="00470573"/>
    <w:rsid w:val="00470A03"/>
    <w:rsid w:val="00471045"/>
    <w:rsid w:val="00472B38"/>
    <w:rsid w:val="004733FB"/>
    <w:rsid w:val="0047357D"/>
    <w:rsid w:val="00473E19"/>
    <w:rsid w:val="00475182"/>
    <w:rsid w:val="004764F4"/>
    <w:rsid w:val="00476654"/>
    <w:rsid w:val="0047689D"/>
    <w:rsid w:val="00477590"/>
    <w:rsid w:val="00477DED"/>
    <w:rsid w:val="00480F1F"/>
    <w:rsid w:val="004814F7"/>
    <w:rsid w:val="004825C6"/>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B61"/>
    <w:rsid w:val="004956B2"/>
    <w:rsid w:val="00496701"/>
    <w:rsid w:val="004970EB"/>
    <w:rsid w:val="00497C69"/>
    <w:rsid w:val="004A0511"/>
    <w:rsid w:val="004A0D82"/>
    <w:rsid w:val="004A1622"/>
    <w:rsid w:val="004A2C4A"/>
    <w:rsid w:val="004A3E25"/>
    <w:rsid w:val="004A3F95"/>
    <w:rsid w:val="004A4965"/>
    <w:rsid w:val="004A5660"/>
    <w:rsid w:val="004A58DD"/>
    <w:rsid w:val="004A5996"/>
    <w:rsid w:val="004A5AD1"/>
    <w:rsid w:val="004A641F"/>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D1EF3"/>
    <w:rsid w:val="004D4695"/>
    <w:rsid w:val="004D5F7E"/>
    <w:rsid w:val="004D6171"/>
    <w:rsid w:val="004D6FD2"/>
    <w:rsid w:val="004D7559"/>
    <w:rsid w:val="004D7E6A"/>
    <w:rsid w:val="004E11C5"/>
    <w:rsid w:val="004E12A8"/>
    <w:rsid w:val="004E1789"/>
    <w:rsid w:val="004E1A33"/>
    <w:rsid w:val="004E2782"/>
    <w:rsid w:val="004E2887"/>
    <w:rsid w:val="004E31F6"/>
    <w:rsid w:val="004E3836"/>
    <w:rsid w:val="004E3A93"/>
    <w:rsid w:val="004E64DB"/>
    <w:rsid w:val="004E7582"/>
    <w:rsid w:val="004E7B3E"/>
    <w:rsid w:val="004E7EF5"/>
    <w:rsid w:val="004F01C4"/>
    <w:rsid w:val="004F0B06"/>
    <w:rsid w:val="004F0FC0"/>
    <w:rsid w:val="004F125E"/>
    <w:rsid w:val="004F1929"/>
    <w:rsid w:val="004F5244"/>
    <w:rsid w:val="004F5F34"/>
    <w:rsid w:val="005008DD"/>
    <w:rsid w:val="00502C25"/>
    <w:rsid w:val="00503695"/>
    <w:rsid w:val="00503C75"/>
    <w:rsid w:val="00503CC1"/>
    <w:rsid w:val="00504054"/>
    <w:rsid w:val="00505085"/>
    <w:rsid w:val="0050587B"/>
    <w:rsid w:val="00505AC8"/>
    <w:rsid w:val="0050631F"/>
    <w:rsid w:val="00506EC3"/>
    <w:rsid w:val="005070E5"/>
    <w:rsid w:val="0051054D"/>
    <w:rsid w:val="0051263F"/>
    <w:rsid w:val="00513368"/>
    <w:rsid w:val="0051494E"/>
    <w:rsid w:val="00514DEF"/>
    <w:rsid w:val="00514E78"/>
    <w:rsid w:val="00515E8F"/>
    <w:rsid w:val="005169B2"/>
    <w:rsid w:val="00517014"/>
    <w:rsid w:val="0052106B"/>
    <w:rsid w:val="005210CA"/>
    <w:rsid w:val="00521416"/>
    <w:rsid w:val="0052346B"/>
    <w:rsid w:val="0052385C"/>
    <w:rsid w:val="00523A16"/>
    <w:rsid w:val="00524173"/>
    <w:rsid w:val="005242FE"/>
    <w:rsid w:val="005247B7"/>
    <w:rsid w:val="00526A29"/>
    <w:rsid w:val="0052721A"/>
    <w:rsid w:val="005275FC"/>
    <w:rsid w:val="005300FD"/>
    <w:rsid w:val="005311D3"/>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6223"/>
    <w:rsid w:val="005668CD"/>
    <w:rsid w:val="00566A9F"/>
    <w:rsid w:val="00567DF7"/>
    <w:rsid w:val="00571D7A"/>
    <w:rsid w:val="005722FC"/>
    <w:rsid w:val="00572CC7"/>
    <w:rsid w:val="005764B2"/>
    <w:rsid w:val="00576C6E"/>
    <w:rsid w:val="00576DA2"/>
    <w:rsid w:val="0057796C"/>
    <w:rsid w:val="0058053B"/>
    <w:rsid w:val="005815B1"/>
    <w:rsid w:val="005826E8"/>
    <w:rsid w:val="00582903"/>
    <w:rsid w:val="00582FB6"/>
    <w:rsid w:val="00583A1F"/>
    <w:rsid w:val="0058515D"/>
    <w:rsid w:val="00587E7B"/>
    <w:rsid w:val="00591008"/>
    <w:rsid w:val="005922E0"/>
    <w:rsid w:val="00592AD8"/>
    <w:rsid w:val="00592B00"/>
    <w:rsid w:val="00593391"/>
    <w:rsid w:val="00594C77"/>
    <w:rsid w:val="00594F4F"/>
    <w:rsid w:val="005957E0"/>
    <w:rsid w:val="00595DCB"/>
    <w:rsid w:val="00596300"/>
    <w:rsid w:val="00596BC0"/>
    <w:rsid w:val="005970B0"/>
    <w:rsid w:val="005975B6"/>
    <w:rsid w:val="00597A68"/>
    <w:rsid w:val="005A2F9D"/>
    <w:rsid w:val="005A407F"/>
    <w:rsid w:val="005A50ED"/>
    <w:rsid w:val="005A52B5"/>
    <w:rsid w:val="005A646B"/>
    <w:rsid w:val="005A64C4"/>
    <w:rsid w:val="005A6668"/>
    <w:rsid w:val="005A7C55"/>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5BB5"/>
    <w:rsid w:val="005D6016"/>
    <w:rsid w:val="005D6067"/>
    <w:rsid w:val="005D6192"/>
    <w:rsid w:val="005D647F"/>
    <w:rsid w:val="005D69DD"/>
    <w:rsid w:val="005D7D3C"/>
    <w:rsid w:val="005D7F7F"/>
    <w:rsid w:val="005E050E"/>
    <w:rsid w:val="005E0EE0"/>
    <w:rsid w:val="005E1867"/>
    <w:rsid w:val="005E318A"/>
    <w:rsid w:val="005E37F0"/>
    <w:rsid w:val="005E39EA"/>
    <w:rsid w:val="005E521D"/>
    <w:rsid w:val="005E52A7"/>
    <w:rsid w:val="005E5317"/>
    <w:rsid w:val="005E5F43"/>
    <w:rsid w:val="005E633F"/>
    <w:rsid w:val="005E7118"/>
    <w:rsid w:val="005E7594"/>
    <w:rsid w:val="005F099F"/>
    <w:rsid w:val="005F0C6B"/>
    <w:rsid w:val="005F0F56"/>
    <w:rsid w:val="005F110B"/>
    <w:rsid w:val="005F156D"/>
    <w:rsid w:val="005F1C9C"/>
    <w:rsid w:val="005F22C2"/>
    <w:rsid w:val="005F2A4A"/>
    <w:rsid w:val="005F38EE"/>
    <w:rsid w:val="005F3B84"/>
    <w:rsid w:val="005F4056"/>
    <w:rsid w:val="005F5651"/>
    <w:rsid w:val="005F5A22"/>
    <w:rsid w:val="005F70BF"/>
    <w:rsid w:val="005F745A"/>
    <w:rsid w:val="00601076"/>
    <w:rsid w:val="00601A2F"/>
    <w:rsid w:val="00601AB9"/>
    <w:rsid w:val="006042B8"/>
    <w:rsid w:val="006044E9"/>
    <w:rsid w:val="0060469B"/>
    <w:rsid w:val="00606402"/>
    <w:rsid w:val="00606F5F"/>
    <w:rsid w:val="00607FD5"/>
    <w:rsid w:val="0061007F"/>
    <w:rsid w:val="006116A1"/>
    <w:rsid w:val="00612000"/>
    <w:rsid w:val="00612375"/>
    <w:rsid w:val="006129CF"/>
    <w:rsid w:val="00614160"/>
    <w:rsid w:val="00614CC8"/>
    <w:rsid w:val="00616292"/>
    <w:rsid w:val="006179F5"/>
    <w:rsid w:val="00620F80"/>
    <w:rsid w:val="00623100"/>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3B32"/>
    <w:rsid w:val="0063439D"/>
    <w:rsid w:val="00635C2B"/>
    <w:rsid w:val="00636178"/>
    <w:rsid w:val="006402FA"/>
    <w:rsid w:val="006407FC"/>
    <w:rsid w:val="00640AE4"/>
    <w:rsid w:val="00640FF0"/>
    <w:rsid w:val="0064113E"/>
    <w:rsid w:val="00642873"/>
    <w:rsid w:val="00643A45"/>
    <w:rsid w:val="0064440D"/>
    <w:rsid w:val="006456B7"/>
    <w:rsid w:val="00645994"/>
    <w:rsid w:val="0064608F"/>
    <w:rsid w:val="0064688B"/>
    <w:rsid w:val="00646B62"/>
    <w:rsid w:val="00647594"/>
    <w:rsid w:val="0064770F"/>
    <w:rsid w:val="00650061"/>
    <w:rsid w:val="00650BA3"/>
    <w:rsid w:val="00651903"/>
    <w:rsid w:val="0065331A"/>
    <w:rsid w:val="006535BF"/>
    <w:rsid w:val="0065407A"/>
    <w:rsid w:val="00654517"/>
    <w:rsid w:val="00654CB1"/>
    <w:rsid w:val="0065538B"/>
    <w:rsid w:val="00655FBB"/>
    <w:rsid w:val="00657C49"/>
    <w:rsid w:val="00661508"/>
    <w:rsid w:val="00661543"/>
    <w:rsid w:val="006619EE"/>
    <w:rsid w:val="00662241"/>
    <w:rsid w:val="00662FCE"/>
    <w:rsid w:val="00663B36"/>
    <w:rsid w:val="00665342"/>
    <w:rsid w:val="006655B1"/>
    <w:rsid w:val="00665B97"/>
    <w:rsid w:val="00666079"/>
    <w:rsid w:val="00666FE5"/>
    <w:rsid w:val="00667691"/>
    <w:rsid w:val="00667B90"/>
    <w:rsid w:val="0067015D"/>
    <w:rsid w:val="00671191"/>
    <w:rsid w:val="006712A2"/>
    <w:rsid w:val="00672EFD"/>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364C"/>
    <w:rsid w:val="00684ADA"/>
    <w:rsid w:val="00685378"/>
    <w:rsid w:val="00685C81"/>
    <w:rsid w:val="0068642A"/>
    <w:rsid w:val="00686437"/>
    <w:rsid w:val="00686CBD"/>
    <w:rsid w:val="00687FBA"/>
    <w:rsid w:val="0069227D"/>
    <w:rsid w:val="00692C7B"/>
    <w:rsid w:val="006939F7"/>
    <w:rsid w:val="006941CA"/>
    <w:rsid w:val="006954E8"/>
    <w:rsid w:val="00695570"/>
    <w:rsid w:val="0069575E"/>
    <w:rsid w:val="00695DA0"/>
    <w:rsid w:val="00696996"/>
    <w:rsid w:val="006978A7"/>
    <w:rsid w:val="006A0A07"/>
    <w:rsid w:val="006A0D75"/>
    <w:rsid w:val="006A2E24"/>
    <w:rsid w:val="006A4CD4"/>
    <w:rsid w:val="006A571E"/>
    <w:rsid w:val="006A57EA"/>
    <w:rsid w:val="006A6289"/>
    <w:rsid w:val="006A6407"/>
    <w:rsid w:val="006A6B04"/>
    <w:rsid w:val="006A750A"/>
    <w:rsid w:val="006A7954"/>
    <w:rsid w:val="006A7EBB"/>
    <w:rsid w:val="006B014E"/>
    <w:rsid w:val="006B06CA"/>
    <w:rsid w:val="006B0BB5"/>
    <w:rsid w:val="006B0C19"/>
    <w:rsid w:val="006B101D"/>
    <w:rsid w:val="006B1126"/>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0AF2"/>
    <w:rsid w:val="006D11DF"/>
    <w:rsid w:val="006D314F"/>
    <w:rsid w:val="006D3B16"/>
    <w:rsid w:val="006D4D27"/>
    <w:rsid w:val="006D4FB0"/>
    <w:rsid w:val="006D58E6"/>
    <w:rsid w:val="006D5B25"/>
    <w:rsid w:val="006D62AD"/>
    <w:rsid w:val="006D66D5"/>
    <w:rsid w:val="006D7C07"/>
    <w:rsid w:val="006E0E47"/>
    <w:rsid w:val="006E1825"/>
    <w:rsid w:val="006E1914"/>
    <w:rsid w:val="006E20A5"/>
    <w:rsid w:val="006E3B58"/>
    <w:rsid w:val="006E4B0B"/>
    <w:rsid w:val="006E4F30"/>
    <w:rsid w:val="006E4FC8"/>
    <w:rsid w:val="006E562D"/>
    <w:rsid w:val="006E5911"/>
    <w:rsid w:val="006E59FD"/>
    <w:rsid w:val="006E5B04"/>
    <w:rsid w:val="006E61F0"/>
    <w:rsid w:val="006E7B77"/>
    <w:rsid w:val="006F0917"/>
    <w:rsid w:val="006F0C64"/>
    <w:rsid w:val="006F1C31"/>
    <w:rsid w:val="006F2E59"/>
    <w:rsid w:val="006F385A"/>
    <w:rsid w:val="006F39BC"/>
    <w:rsid w:val="006F410A"/>
    <w:rsid w:val="006F49E6"/>
    <w:rsid w:val="006F4FDF"/>
    <w:rsid w:val="006F551A"/>
    <w:rsid w:val="006F5977"/>
    <w:rsid w:val="00700CE4"/>
    <w:rsid w:val="007021D8"/>
    <w:rsid w:val="00702A9F"/>
    <w:rsid w:val="007032BB"/>
    <w:rsid w:val="00704004"/>
    <w:rsid w:val="00704044"/>
    <w:rsid w:val="007048D3"/>
    <w:rsid w:val="00706509"/>
    <w:rsid w:val="007069AC"/>
    <w:rsid w:val="0070755C"/>
    <w:rsid w:val="00710904"/>
    <w:rsid w:val="007125BA"/>
    <w:rsid w:val="00712DB0"/>
    <w:rsid w:val="00714FA7"/>
    <w:rsid w:val="00715072"/>
    <w:rsid w:val="00715328"/>
    <w:rsid w:val="00715E9D"/>
    <w:rsid w:val="007164AB"/>
    <w:rsid w:val="007169C4"/>
    <w:rsid w:val="00716E29"/>
    <w:rsid w:val="0071767D"/>
    <w:rsid w:val="00717BD1"/>
    <w:rsid w:val="00717EE5"/>
    <w:rsid w:val="007212ED"/>
    <w:rsid w:val="00722317"/>
    <w:rsid w:val="007230FF"/>
    <w:rsid w:val="00724EF7"/>
    <w:rsid w:val="00725311"/>
    <w:rsid w:val="00725364"/>
    <w:rsid w:val="00725C2F"/>
    <w:rsid w:val="0072669A"/>
    <w:rsid w:val="0073058E"/>
    <w:rsid w:val="007309C0"/>
    <w:rsid w:val="00731E9A"/>
    <w:rsid w:val="007321B4"/>
    <w:rsid w:val="00732F2E"/>
    <w:rsid w:val="007334C3"/>
    <w:rsid w:val="00733F7E"/>
    <w:rsid w:val="00735679"/>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1D1"/>
    <w:rsid w:val="00756CD6"/>
    <w:rsid w:val="00757359"/>
    <w:rsid w:val="00757BB7"/>
    <w:rsid w:val="00757D2F"/>
    <w:rsid w:val="0076111D"/>
    <w:rsid w:val="007615C6"/>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3C62"/>
    <w:rsid w:val="0077409E"/>
    <w:rsid w:val="00774C38"/>
    <w:rsid w:val="007776FD"/>
    <w:rsid w:val="0078002E"/>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078"/>
    <w:rsid w:val="007872D4"/>
    <w:rsid w:val="00787C89"/>
    <w:rsid w:val="00787EC7"/>
    <w:rsid w:val="007900D3"/>
    <w:rsid w:val="00790541"/>
    <w:rsid w:val="00791112"/>
    <w:rsid w:val="0079192F"/>
    <w:rsid w:val="00791ACD"/>
    <w:rsid w:val="00791ED1"/>
    <w:rsid w:val="00791F89"/>
    <w:rsid w:val="00792658"/>
    <w:rsid w:val="007932ED"/>
    <w:rsid w:val="007940D7"/>
    <w:rsid w:val="00794140"/>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3CF"/>
    <w:rsid w:val="007A7617"/>
    <w:rsid w:val="007B1AEA"/>
    <w:rsid w:val="007B336D"/>
    <w:rsid w:val="007B4889"/>
    <w:rsid w:val="007B7303"/>
    <w:rsid w:val="007B7458"/>
    <w:rsid w:val="007B7AC6"/>
    <w:rsid w:val="007B7C4A"/>
    <w:rsid w:val="007C115B"/>
    <w:rsid w:val="007C120B"/>
    <w:rsid w:val="007C35E2"/>
    <w:rsid w:val="007C4281"/>
    <w:rsid w:val="007C4C51"/>
    <w:rsid w:val="007C4F71"/>
    <w:rsid w:val="007C5027"/>
    <w:rsid w:val="007C5671"/>
    <w:rsid w:val="007C5E63"/>
    <w:rsid w:val="007C6E1E"/>
    <w:rsid w:val="007D0FE7"/>
    <w:rsid w:val="007D3F9B"/>
    <w:rsid w:val="007D46C3"/>
    <w:rsid w:val="007D4B4F"/>
    <w:rsid w:val="007D663B"/>
    <w:rsid w:val="007D6A53"/>
    <w:rsid w:val="007D7BFA"/>
    <w:rsid w:val="007E1FEB"/>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34C"/>
    <w:rsid w:val="007F4FE8"/>
    <w:rsid w:val="007F5B83"/>
    <w:rsid w:val="007F69A1"/>
    <w:rsid w:val="007F6ADD"/>
    <w:rsid w:val="008003C7"/>
    <w:rsid w:val="008013C3"/>
    <w:rsid w:val="008013DA"/>
    <w:rsid w:val="00801EA7"/>
    <w:rsid w:val="008034C5"/>
    <w:rsid w:val="00803DC4"/>
    <w:rsid w:val="00804ED9"/>
    <w:rsid w:val="0080605A"/>
    <w:rsid w:val="0080629B"/>
    <w:rsid w:val="00806730"/>
    <w:rsid w:val="00806828"/>
    <w:rsid w:val="00807677"/>
    <w:rsid w:val="00807DA0"/>
    <w:rsid w:val="008103EA"/>
    <w:rsid w:val="00810598"/>
    <w:rsid w:val="00810DE5"/>
    <w:rsid w:val="0081178C"/>
    <w:rsid w:val="00812A06"/>
    <w:rsid w:val="00812D5B"/>
    <w:rsid w:val="00813619"/>
    <w:rsid w:val="00813834"/>
    <w:rsid w:val="00814CD5"/>
    <w:rsid w:val="00815151"/>
    <w:rsid w:val="0081515D"/>
    <w:rsid w:val="0081591F"/>
    <w:rsid w:val="00817449"/>
    <w:rsid w:val="008179E7"/>
    <w:rsid w:val="00820630"/>
    <w:rsid w:val="00820CC2"/>
    <w:rsid w:val="008224E6"/>
    <w:rsid w:val="008227A6"/>
    <w:rsid w:val="00824080"/>
    <w:rsid w:val="00824152"/>
    <w:rsid w:val="008250A3"/>
    <w:rsid w:val="00825207"/>
    <w:rsid w:val="0082535B"/>
    <w:rsid w:val="008266C9"/>
    <w:rsid w:val="00826711"/>
    <w:rsid w:val="00830A5F"/>
    <w:rsid w:val="00830A6A"/>
    <w:rsid w:val="008319F7"/>
    <w:rsid w:val="00833479"/>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61C05"/>
    <w:rsid w:val="00862D36"/>
    <w:rsid w:val="00863171"/>
    <w:rsid w:val="00865DA4"/>
    <w:rsid w:val="0086612E"/>
    <w:rsid w:val="008663A1"/>
    <w:rsid w:val="0086676B"/>
    <w:rsid w:val="00872F12"/>
    <w:rsid w:val="00873799"/>
    <w:rsid w:val="00874CD1"/>
    <w:rsid w:val="00875A53"/>
    <w:rsid w:val="008761A9"/>
    <w:rsid w:val="00876298"/>
    <w:rsid w:val="0087668A"/>
    <w:rsid w:val="00876BF1"/>
    <w:rsid w:val="00876F19"/>
    <w:rsid w:val="00877494"/>
    <w:rsid w:val="00877612"/>
    <w:rsid w:val="0087762C"/>
    <w:rsid w:val="00880666"/>
    <w:rsid w:val="00881D22"/>
    <w:rsid w:val="0088218A"/>
    <w:rsid w:val="00884341"/>
    <w:rsid w:val="00884D26"/>
    <w:rsid w:val="008863D9"/>
    <w:rsid w:val="008872E5"/>
    <w:rsid w:val="00887429"/>
    <w:rsid w:val="00887F82"/>
    <w:rsid w:val="008911A1"/>
    <w:rsid w:val="00891D3D"/>
    <w:rsid w:val="00892E27"/>
    <w:rsid w:val="008937F8"/>
    <w:rsid w:val="00893DD5"/>
    <w:rsid w:val="00894B93"/>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5F2B"/>
    <w:rsid w:val="008A675E"/>
    <w:rsid w:val="008A778E"/>
    <w:rsid w:val="008B034E"/>
    <w:rsid w:val="008B0C7A"/>
    <w:rsid w:val="008B1591"/>
    <w:rsid w:val="008B1F6A"/>
    <w:rsid w:val="008B317F"/>
    <w:rsid w:val="008B4C84"/>
    <w:rsid w:val="008B590D"/>
    <w:rsid w:val="008B7337"/>
    <w:rsid w:val="008C0AFC"/>
    <w:rsid w:val="008C1EEC"/>
    <w:rsid w:val="008C2ADE"/>
    <w:rsid w:val="008C30AE"/>
    <w:rsid w:val="008C315B"/>
    <w:rsid w:val="008C33C2"/>
    <w:rsid w:val="008C3721"/>
    <w:rsid w:val="008C5A9F"/>
    <w:rsid w:val="008C5F5F"/>
    <w:rsid w:val="008C659D"/>
    <w:rsid w:val="008C6C67"/>
    <w:rsid w:val="008D2904"/>
    <w:rsid w:val="008D3C99"/>
    <w:rsid w:val="008D3ECE"/>
    <w:rsid w:val="008D46CE"/>
    <w:rsid w:val="008D7F7E"/>
    <w:rsid w:val="008E005A"/>
    <w:rsid w:val="008E0ED1"/>
    <w:rsid w:val="008E1075"/>
    <w:rsid w:val="008E2274"/>
    <w:rsid w:val="008E2363"/>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1A8"/>
    <w:rsid w:val="0091658D"/>
    <w:rsid w:val="00916731"/>
    <w:rsid w:val="009177D2"/>
    <w:rsid w:val="009203B0"/>
    <w:rsid w:val="00920919"/>
    <w:rsid w:val="00921E24"/>
    <w:rsid w:val="00922580"/>
    <w:rsid w:val="00923904"/>
    <w:rsid w:val="00924167"/>
    <w:rsid w:val="00927081"/>
    <w:rsid w:val="00927AA5"/>
    <w:rsid w:val="00931F53"/>
    <w:rsid w:val="00931FE0"/>
    <w:rsid w:val="00932986"/>
    <w:rsid w:val="00932F45"/>
    <w:rsid w:val="00933126"/>
    <w:rsid w:val="00933A9E"/>
    <w:rsid w:val="00934C2C"/>
    <w:rsid w:val="009352E1"/>
    <w:rsid w:val="00936AFE"/>
    <w:rsid w:val="00936F1B"/>
    <w:rsid w:val="009410C1"/>
    <w:rsid w:val="00941F56"/>
    <w:rsid w:val="0094214F"/>
    <w:rsid w:val="009425F7"/>
    <w:rsid w:val="009430B2"/>
    <w:rsid w:val="00943230"/>
    <w:rsid w:val="00944574"/>
    <w:rsid w:val="00944882"/>
    <w:rsid w:val="00945965"/>
    <w:rsid w:val="00945F2D"/>
    <w:rsid w:val="00946303"/>
    <w:rsid w:val="00950B7B"/>
    <w:rsid w:val="00952904"/>
    <w:rsid w:val="00953299"/>
    <w:rsid w:val="009533EA"/>
    <w:rsid w:val="00953EA5"/>
    <w:rsid w:val="009544CC"/>
    <w:rsid w:val="009547EC"/>
    <w:rsid w:val="00955290"/>
    <w:rsid w:val="00956081"/>
    <w:rsid w:val="00956A92"/>
    <w:rsid w:val="009570EE"/>
    <w:rsid w:val="0096160D"/>
    <w:rsid w:val="0096366C"/>
    <w:rsid w:val="00964B3E"/>
    <w:rsid w:val="00965671"/>
    <w:rsid w:val="0096622C"/>
    <w:rsid w:val="00966C59"/>
    <w:rsid w:val="00966FF1"/>
    <w:rsid w:val="009676F8"/>
    <w:rsid w:val="009701D3"/>
    <w:rsid w:val="00970397"/>
    <w:rsid w:val="0097225F"/>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06"/>
    <w:rsid w:val="00984DB5"/>
    <w:rsid w:val="00984EE8"/>
    <w:rsid w:val="0098611E"/>
    <w:rsid w:val="009870E1"/>
    <w:rsid w:val="0098766C"/>
    <w:rsid w:val="00987D82"/>
    <w:rsid w:val="00987E61"/>
    <w:rsid w:val="00990867"/>
    <w:rsid w:val="00991CFE"/>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6992"/>
    <w:rsid w:val="009A775B"/>
    <w:rsid w:val="009B03A9"/>
    <w:rsid w:val="009B04DA"/>
    <w:rsid w:val="009B06DB"/>
    <w:rsid w:val="009B0F1D"/>
    <w:rsid w:val="009B17B0"/>
    <w:rsid w:val="009B1C54"/>
    <w:rsid w:val="009B1EA2"/>
    <w:rsid w:val="009B23D6"/>
    <w:rsid w:val="009B293E"/>
    <w:rsid w:val="009B2ABD"/>
    <w:rsid w:val="009B2BAC"/>
    <w:rsid w:val="009B4432"/>
    <w:rsid w:val="009B496D"/>
    <w:rsid w:val="009B650A"/>
    <w:rsid w:val="009C107C"/>
    <w:rsid w:val="009C2060"/>
    <w:rsid w:val="009C387D"/>
    <w:rsid w:val="009C3ABB"/>
    <w:rsid w:val="009C3C78"/>
    <w:rsid w:val="009C3EFB"/>
    <w:rsid w:val="009C550B"/>
    <w:rsid w:val="009C70D0"/>
    <w:rsid w:val="009C74C7"/>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200"/>
    <w:rsid w:val="009D5CB7"/>
    <w:rsid w:val="009D6311"/>
    <w:rsid w:val="009D7D9B"/>
    <w:rsid w:val="009D7E18"/>
    <w:rsid w:val="009E0138"/>
    <w:rsid w:val="009E0162"/>
    <w:rsid w:val="009E25C2"/>
    <w:rsid w:val="009E2FEC"/>
    <w:rsid w:val="009E31BE"/>
    <w:rsid w:val="009E36A8"/>
    <w:rsid w:val="009E5CE7"/>
    <w:rsid w:val="009E5DF4"/>
    <w:rsid w:val="009E6064"/>
    <w:rsid w:val="009E75B5"/>
    <w:rsid w:val="009F0925"/>
    <w:rsid w:val="009F099B"/>
    <w:rsid w:val="009F0C3A"/>
    <w:rsid w:val="009F13B3"/>
    <w:rsid w:val="009F143F"/>
    <w:rsid w:val="009F152E"/>
    <w:rsid w:val="009F1FCB"/>
    <w:rsid w:val="009F2894"/>
    <w:rsid w:val="009F3277"/>
    <w:rsid w:val="009F3F3B"/>
    <w:rsid w:val="009F5C4A"/>
    <w:rsid w:val="009F649D"/>
    <w:rsid w:val="009F6F3E"/>
    <w:rsid w:val="009F72A0"/>
    <w:rsid w:val="009F7435"/>
    <w:rsid w:val="009F761F"/>
    <w:rsid w:val="009F7C13"/>
    <w:rsid w:val="00A01397"/>
    <w:rsid w:val="00A02067"/>
    <w:rsid w:val="00A025EB"/>
    <w:rsid w:val="00A0299A"/>
    <w:rsid w:val="00A03EDF"/>
    <w:rsid w:val="00A04464"/>
    <w:rsid w:val="00A07772"/>
    <w:rsid w:val="00A07F01"/>
    <w:rsid w:val="00A10153"/>
    <w:rsid w:val="00A104FF"/>
    <w:rsid w:val="00A106F7"/>
    <w:rsid w:val="00A11BF7"/>
    <w:rsid w:val="00A12F53"/>
    <w:rsid w:val="00A12F71"/>
    <w:rsid w:val="00A13C9E"/>
    <w:rsid w:val="00A1407A"/>
    <w:rsid w:val="00A1685E"/>
    <w:rsid w:val="00A16B4B"/>
    <w:rsid w:val="00A1767C"/>
    <w:rsid w:val="00A178D0"/>
    <w:rsid w:val="00A2168A"/>
    <w:rsid w:val="00A23DFA"/>
    <w:rsid w:val="00A24C2D"/>
    <w:rsid w:val="00A24E75"/>
    <w:rsid w:val="00A25B75"/>
    <w:rsid w:val="00A26612"/>
    <w:rsid w:val="00A27A2C"/>
    <w:rsid w:val="00A302B3"/>
    <w:rsid w:val="00A306FA"/>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64CF"/>
    <w:rsid w:val="00A772EF"/>
    <w:rsid w:val="00A776C7"/>
    <w:rsid w:val="00A803F2"/>
    <w:rsid w:val="00A80866"/>
    <w:rsid w:val="00A8105F"/>
    <w:rsid w:val="00A83E91"/>
    <w:rsid w:val="00A84352"/>
    <w:rsid w:val="00A84F99"/>
    <w:rsid w:val="00A84FB6"/>
    <w:rsid w:val="00A85D1E"/>
    <w:rsid w:val="00A86328"/>
    <w:rsid w:val="00A865C8"/>
    <w:rsid w:val="00A86802"/>
    <w:rsid w:val="00A868BC"/>
    <w:rsid w:val="00A86F8F"/>
    <w:rsid w:val="00A9062A"/>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1108"/>
    <w:rsid w:val="00AA12F0"/>
    <w:rsid w:val="00AA2A02"/>
    <w:rsid w:val="00AA3782"/>
    <w:rsid w:val="00AA5A03"/>
    <w:rsid w:val="00AA5C3E"/>
    <w:rsid w:val="00AA6BF3"/>
    <w:rsid w:val="00AA70DF"/>
    <w:rsid w:val="00AA727D"/>
    <w:rsid w:val="00AA7C27"/>
    <w:rsid w:val="00AB0CF4"/>
    <w:rsid w:val="00AB1972"/>
    <w:rsid w:val="00AB2A0E"/>
    <w:rsid w:val="00AB2E13"/>
    <w:rsid w:val="00AB3997"/>
    <w:rsid w:val="00AB58F9"/>
    <w:rsid w:val="00AB5C94"/>
    <w:rsid w:val="00AB72EA"/>
    <w:rsid w:val="00AB755E"/>
    <w:rsid w:val="00AB7DE4"/>
    <w:rsid w:val="00AC03F9"/>
    <w:rsid w:val="00AC15BB"/>
    <w:rsid w:val="00AC1CAB"/>
    <w:rsid w:val="00AC1F16"/>
    <w:rsid w:val="00AC2557"/>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12C0"/>
    <w:rsid w:val="00AE2CD8"/>
    <w:rsid w:val="00AE3031"/>
    <w:rsid w:val="00AE3296"/>
    <w:rsid w:val="00AE3659"/>
    <w:rsid w:val="00AE3A35"/>
    <w:rsid w:val="00AE4849"/>
    <w:rsid w:val="00AE4CCB"/>
    <w:rsid w:val="00AE5335"/>
    <w:rsid w:val="00AE6994"/>
    <w:rsid w:val="00AE72DB"/>
    <w:rsid w:val="00AE730D"/>
    <w:rsid w:val="00AE7326"/>
    <w:rsid w:val="00AF050F"/>
    <w:rsid w:val="00AF08DE"/>
    <w:rsid w:val="00AF0E83"/>
    <w:rsid w:val="00AF1FAA"/>
    <w:rsid w:val="00AF2796"/>
    <w:rsid w:val="00AF4202"/>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C00"/>
    <w:rsid w:val="00B11D73"/>
    <w:rsid w:val="00B12225"/>
    <w:rsid w:val="00B129D0"/>
    <w:rsid w:val="00B12C3D"/>
    <w:rsid w:val="00B134B2"/>
    <w:rsid w:val="00B13E3F"/>
    <w:rsid w:val="00B13F0B"/>
    <w:rsid w:val="00B15D42"/>
    <w:rsid w:val="00B163B1"/>
    <w:rsid w:val="00B16532"/>
    <w:rsid w:val="00B23C21"/>
    <w:rsid w:val="00B23D0F"/>
    <w:rsid w:val="00B23EDC"/>
    <w:rsid w:val="00B243F0"/>
    <w:rsid w:val="00B24975"/>
    <w:rsid w:val="00B24DE4"/>
    <w:rsid w:val="00B252F7"/>
    <w:rsid w:val="00B25D45"/>
    <w:rsid w:val="00B25E2E"/>
    <w:rsid w:val="00B26232"/>
    <w:rsid w:val="00B26711"/>
    <w:rsid w:val="00B27BE3"/>
    <w:rsid w:val="00B30A10"/>
    <w:rsid w:val="00B31EAB"/>
    <w:rsid w:val="00B32274"/>
    <w:rsid w:val="00B33C37"/>
    <w:rsid w:val="00B3528A"/>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018"/>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BB8"/>
    <w:rsid w:val="00B6555B"/>
    <w:rsid w:val="00B6633E"/>
    <w:rsid w:val="00B67018"/>
    <w:rsid w:val="00B67798"/>
    <w:rsid w:val="00B70686"/>
    <w:rsid w:val="00B70853"/>
    <w:rsid w:val="00B70F53"/>
    <w:rsid w:val="00B7156D"/>
    <w:rsid w:val="00B71639"/>
    <w:rsid w:val="00B7168D"/>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C8A"/>
    <w:rsid w:val="00B85CA2"/>
    <w:rsid w:val="00B85EE0"/>
    <w:rsid w:val="00B868F0"/>
    <w:rsid w:val="00B9003A"/>
    <w:rsid w:val="00B9099F"/>
    <w:rsid w:val="00B90B78"/>
    <w:rsid w:val="00B9324B"/>
    <w:rsid w:val="00B938E7"/>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700"/>
    <w:rsid w:val="00BC05A5"/>
    <w:rsid w:val="00BC21E1"/>
    <w:rsid w:val="00BC320D"/>
    <w:rsid w:val="00BC3A42"/>
    <w:rsid w:val="00BC4161"/>
    <w:rsid w:val="00BC5E94"/>
    <w:rsid w:val="00BC5FCA"/>
    <w:rsid w:val="00BC71D8"/>
    <w:rsid w:val="00BD0394"/>
    <w:rsid w:val="00BD0F87"/>
    <w:rsid w:val="00BD1B05"/>
    <w:rsid w:val="00BD28BC"/>
    <w:rsid w:val="00BD2DF0"/>
    <w:rsid w:val="00BD30C7"/>
    <w:rsid w:val="00BD3874"/>
    <w:rsid w:val="00BD3E18"/>
    <w:rsid w:val="00BD4038"/>
    <w:rsid w:val="00BD43D3"/>
    <w:rsid w:val="00BD44DE"/>
    <w:rsid w:val="00BD7072"/>
    <w:rsid w:val="00BD73B5"/>
    <w:rsid w:val="00BD7C55"/>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4363"/>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4DD1"/>
    <w:rsid w:val="00C05FF9"/>
    <w:rsid w:val="00C0617E"/>
    <w:rsid w:val="00C062FC"/>
    <w:rsid w:val="00C105FF"/>
    <w:rsid w:val="00C1061D"/>
    <w:rsid w:val="00C10797"/>
    <w:rsid w:val="00C10C29"/>
    <w:rsid w:val="00C14D53"/>
    <w:rsid w:val="00C15B2F"/>
    <w:rsid w:val="00C15D66"/>
    <w:rsid w:val="00C15FF8"/>
    <w:rsid w:val="00C168AA"/>
    <w:rsid w:val="00C16AEC"/>
    <w:rsid w:val="00C17984"/>
    <w:rsid w:val="00C20161"/>
    <w:rsid w:val="00C2034A"/>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2AF4"/>
    <w:rsid w:val="00C33ADE"/>
    <w:rsid w:val="00C33BD2"/>
    <w:rsid w:val="00C35037"/>
    <w:rsid w:val="00C37A93"/>
    <w:rsid w:val="00C412C3"/>
    <w:rsid w:val="00C413CA"/>
    <w:rsid w:val="00C41873"/>
    <w:rsid w:val="00C418C4"/>
    <w:rsid w:val="00C418E8"/>
    <w:rsid w:val="00C42308"/>
    <w:rsid w:val="00C446D7"/>
    <w:rsid w:val="00C50F08"/>
    <w:rsid w:val="00C51587"/>
    <w:rsid w:val="00C52A47"/>
    <w:rsid w:val="00C5325C"/>
    <w:rsid w:val="00C5342B"/>
    <w:rsid w:val="00C53434"/>
    <w:rsid w:val="00C54A4F"/>
    <w:rsid w:val="00C54DAD"/>
    <w:rsid w:val="00C54E91"/>
    <w:rsid w:val="00C55813"/>
    <w:rsid w:val="00C558FE"/>
    <w:rsid w:val="00C564B4"/>
    <w:rsid w:val="00C57B25"/>
    <w:rsid w:val="00C60D97"/>
    <w:rsid w:val="00C60DD9"/>
    <w:rsid w:val="00C612FA"/>
    <w:rsid w:val="00C62AAE"/>
    <w:rsid w:val="00C63A08"/>
    <w:rsid w:val="00C64C4F"/>
    <w:rsid w:val="00C65985"/>
    <w:rsid w:val="00C71100"/>
    <w:rsid w:val="00C722F2"/>
    <w:rsid w:val="00C730B7"/>
    <w:rsid w:val="00C74360"/>
    <w:rsid w:val="00C75570"/>
    <w:rsid w:val="00C755CC"/>
    <w:rsid w:val="00C75FE8"/>
    <w:rsid w:val="00C7648D"/>
    <w:rsid w:val="00C76957"/>
    <w:rsid w:val="00C76C19"/>
    <w:rsid w:val="00C76DCB"/>
    <w:rsid w:val="00C76E2C"/>
    <w:rsid w:val="00C8043F"/>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53E1"/>
    <w:rsid w:val="00C968C3"/>
    <w:rsid w:val="00C970DC"/>
    <w:rsid w:val="00C97103"/>
    <w:rsid w:val="00C972E9"/>
    <w:rsid w:val="00C97E18"/>
    <w:rsid w:val="00CA09D3"/>
    <w:rsid w:val="00CA1788"/>
    <w:rsid w:val="00CA1E69"/>
    <w:rsid w:val="00CA2A8B"/>
    <w:rsid w:val="00CA2DFD"/>
    <w:rsid w:val="00CA3D6F"/>
    <w:rsid w:val="00CA3DAE"/>
    <w:rsid w:val="00CA5C9B"/>
    <w:rsid w:val="00CA6209"/>
    <w:rsid w:val="00CA65E6"/>
    <w:rsid w:val="00CA6DCD"/>
    <w:rsid w:val="00CA7347"/>
    <w:rsid w:val="00CB112F"/>
    <w:rsid w:val="00CB14DC"/>
    <w:rsid w:val="00CB14F6"/>
    <w:rsid w:val="00CB28EA"/>
    <w:rsid w:val="00CB47EA"/>
    <w:rsid w:val="00CB6CF9"/>
    <w:rsid w:val="00CB6DD9"/>
    <w:rsid w:val="00CB7B20"/>
    <w:rsid w:val="00CB7C62"/>
    <w:rsid w:val="00CC0CB4"/>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536D"/>
    <w:rsid w:val="00CD5B89"/>
    <w:rsid w:val="00CD5BE2"/>
    <w:rsid w:val="00CD6A30"/>
    <w:rsid w:val="00CD6C68"/>
    <w:rsid w:val="00CD79E2"/>
    <w:rsid w:val="00CD79FD"/>
    <w:rsid w:val="00CD7FEA"/>
    <w:rsid w:val="00CE314F"/>
    <w:rsid w:val="00CE3AD2"/>
    <w:rsid w:val="00CE4474"/>
    <w:rsid w:val="00CE5453"/>
    <w:rsid w:val="00CE6358"/>
    <w:rsid w:val="00CF0EDF"/>
    <w:rsid w:val="00CF12B7"/>
    <w:rsid w:val="00CF15CD"/>
    <w:rsid w:val="00CF1672"/>
    <w:rsid w:val="00CF2B8B"/>
    <w:rsid w:val="00CF3694"/>
    <w:rsid w:val="00CF3CEE"/>
    <w:rsid w:val="00CF4B90"/>
    <w:rsid w:val="00CF52A2"/>
    <w:rsid w:val="00CF55BD"/>
    <w:rsid w:val="00CF57AF"/>
    <w:rsid w:val="00CF59FF"/>
    <w:rsid w:val="00CF7148"/>
    <w:rsid w:val="00CF721D"/>
    <w:rsid w:val="00CF7B71"/>
    <w:rsid w:val="00D0048F"/>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473"/>
    <w:rsid w:val="00D43644"/>
    <w:rsid w:val="00D438E1"/>
    <w:rsid w:val="00D43B8D"/>
    <w:rsid w:val="00D445C8"/>
    <w:rsid w:val="00D44E79"/>
    <w:rsid w:val="00D44FAD"/>
    <w:rsid w:val="00D45121"/>
    <w:rsid w:val="00D45CD6"/>
    <w:rsid w:val="00D4614A"/>
    <w:rsid w:val="00D4660E"/>
    <w:rsid w:val="00D47084"/>
    <w:rsid w:val="00D47282"/>
    <w:rsid w:val="00D474C1"/>
    <w:rsid w:val="00D500B1"/>
    <w:rsid w:val="00D5067E"/>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CE5"/>
    <w:rsid w:val="00D7102E"/>
    <w:rsid w:val="00D72B83"/>
    <w:rsid w:val="00D731AC"/>
    <w:rsid w:val="00D73EAA"/>
    <w:rsid w:val="00D74DA9"/>
    <w:rsid w:val="00D74F9A"/>
    <w:rsid w:val="00D752B5"/>
    <w:rsid w:val="00D754AF"/>
    <w:rsid w:val="00D757FC"/>
    <w:rsid w:val="00D75AD7"/>
    <w:rsid w:val="00D76B6F"/>
    <w:rsid w:val="00D76C3F"/>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EA0"/>
    <w:rsid w:val="00D86854"/>
    <w:rsid w:val="00D86DD0"/>
    <w:rsid w:val="00D87A91"/>
    <w:rsid w:val="00D87F67"/>
    <w:rsid w:val="00D87FD3"/>
    <w:rsid w:val="00D909D1"/>
    <w:rsid w:val="00D91811"/>
    <w:rsid w:val="00D91899"/>
    <w:rsid w:val="00D92698"/>
    <w:rsid w:val="00D92BD7"/>
    <w:rsid w:val="00D9319D"/>
    <w:rsid w:val="00D937BB"/>
    <w:rsid w:val="00D93E96"/>
    <w:rsid w:val="00D94298"/>
    <w:rsid w:val="00D94441"/>
    <w:rsid w:val="00D94FDF"/>
    <w:rsid w:val="00DA12BE"/>
    <w:rsid w:val="00DA1D05"/>
    <w:rsid w:val="00DA1FF3"/>
    <w:rsid w:val="00DA2791"/>
    <w:rsid w:val="00DA279D"/>
    <w:rsid w:val="00DA5F58"/>
    <w:rsid w:val="00DA6320"/>
    <w:rsid w:val="00DA670D"/>
    <w:rsid w:val="00DA78DB"/>
    <w:rsid w:val="00DB0112"/>
    <w:rsid w:val="00DB0148"/>
    <w:rsid w:val="00DB0FBC"/>
    <w:rsid w:val="00DB110C"/>
    <w:rsid w:val="00DB1E3F"/>
    <w:rsid w:val="00DB2EE7"/>
    <w:rsid w:val="00DB3D1A"/>
    <w:rsid w:val="00DB3E15"/>
    <w:rsid w:val="00DB4702"/>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669"/>
    <w:rsid w:val="00DD0C41"/>
    <w:rsid w:val="00DD1A79"/>
    <w:rsid w:val="00DD21A8"/>
    <w:rsid w:val="00DD28AB"/>
    <w:rsid w:val="00DD2E3C"/>
    <w:rsid w:val="00DD2F8C"/>
    <w:rsid w:val="00DD31EB"/>
    <w:rsid w:val="00DD327E"/>
    <w:rsid w:val="00DD34BD"/>
    <w:rsid w:val="00DD44C1"/>
    <w:rsid w:val="00DE0228"/>
    <w:rsid w:val="00DE0658"/>
    <w:rsid w:val="00DE106C"/>
    <w:rsid w:val="00DE2EC0"/>
    <w:rsid w:val="00DE3F0D"/>
    <w:rsid w:val="00DE44D0"/>
    <w:rsid w:val="00DE4C0B"/>
    <w:rsid w:val="00DE4C51"/>
    <w:rsid w:val="00DE5070"/>
    <w:rsid w:val="00DE5345"/>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5ADF"/>
    <w:rsid w:val="00DF61A6"/>
    <w:rsid w:val="00DF6BCF"/>
    <w:rsid w:val="00DF6C5C"/>
    <w:rsid w:val="00DF720D"/>
    <w:rsid w:val="00E0038F"/>
    <w:rsid w:val="00E00658"/>
    <w:rsid w:val="00E00BA8"/>
    <w:rsid w:val="00E01421"/>
    <w:rsid w:val="00E0452F"/>
    <w:rsid w:val="00E05302"/>
    <w:rsid w:val="00E06996"/>
    <w:rsid w:val="00E0799A"/>
    <w:rsid w:val="00E1001F"/>
    <w:rsid w:val="00E118C2"/>
    <w:rsid w:val="00E11E75"/>
    <w:rsid w:val="00E132F4"/>
    <w:rsid w:val="00E139D3"/>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125"/>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1C1"/>
    <w:rsid w:val="00E45B0A"/>
    <w:rsid w:val="00E45DA8"/>
    <w:rsid w:val="00E45EFD"/>
    <w:rsid w:val="00E47B37"/>
    <w:rsid w:val="00E47BE2"/>
    <w:rsid w:val="00E50D4D"/>
    <w:rsid w:val="00E51564"/>
    <w:rsid w:val="00E51B9F"/>
    <w:rsid w:val="00E5211E"/>
    <w:rsid w:val="00E5284E"/>
    <w:rsid w:val="00E53D18"/>
    <w:rsid w:val="00E549C1"/>
    <w:rsid w:val="00E555F4"/>
    <w:rsid w:val="00E5561E"/>
    <w:rsid w:val="00E568AD"/>
    <w:rsid w:val="00E603DC"/>
    <w:rsid w:val="00E60651"/>
    <w:rsid w:val="00E60B74"/>
    <w:rsid w:val="00E614D5"/>
    <w:rsid w:val="00E62682"/>
    <w:rsid w:val="00E6476A"/>
    <w:rsid w:val="00E64CCF"/>
    <w:rsid w:val="00E65E93"/>
    <w:rsid w:val="00E676CD"/>
    <w:rsid w:val="00E679F0"/>
    <w:rsid w:val="00E67DD5"/>
    <w:rsid w:val="00E70235"/>
    <w:rsid w:val="00E7067B"/>
    <w:rsid w:val="00E72268"/>
    <w:rsid w:val="00E74040"/>
    <w:rsid w:val="00E74B8A"/>
    <w:rsid w:val="00E753F9"/>
    <w:rsid w:val="00E7720E"/>
    <w:rsid w:val="00E77928"/>
    <w:rsid w:val="00E80066"/>
    <w:rsid w:val="00E81935"/>
    <w:rsid w:val="00E8228B"/>
    <w:rsid w:val="00E825FD"/>
    <w:rsid w:val="00E84072"/>
    <w:rsid w:val="00E84F7F"/>
    <w:rsid w:val="00E85570"/>
    <w:rsid w:val="00E859A3"/>
    <w:rsid w:val="00E85AEE"/>
    <w:rsid w:val="00E86EA3"/>
    <w:rsid w:val="00E87009"/>
    <w:rsid w:val="00E903B4"/>
    <w:rsid w:val="00E9087D"/>
    <w:rsid w:val="00E9162E"/>
    <w:rsid w:val="00E92937"/>
    <w:rsid w:val="00E931C3"/>
    <w:rsid w:val="00E93EF7"/>
    <w:rsid w:val="00E94065"/>
    <w:rsid w:val="00E94174"/>
    <w:rsid w:val="00E95DE9"/>
    <w:rsid w:val="00E96141"/>
    <w:rsid w:val="00E96623"/>
    <w:rsid w:val="00EA0371"/>
    <w:rsid w:val="00EA0390"/>
    <w:rsid w:val="00EA2CDC"/>
    <w:rsid w:val="00EA399C"/>
    <w:rsid w:val="00EA4106"/>
    <w:rsid w:val="00EA4DBD"/>
    <w:rsid w:val="00EA6E84"/>
    <w:rsid w:val="00EB182B"/>
    <w:rsid w:val="00EB1BF8"/>
    <w:rsid w:val="00EB2CEE"/>
    <w:rsid w:val="00EB5812"/>
    <w:rsid w:val="00EB5E58"/>
    <w:rsid w:val="00EB60B3"/>
    <w:rsid w:val="00EB63DE"/>
    <w:rsid w:val="00EC17AF"/>
    <w:rsid w:val="00EC1F64"/>
    <w:rsid w:val="00EC2B1A"/>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905"/>
    <w:rsid w:val="00EF3C96"/>
    <w:rsid w:val="00EF3DDA"/>
    <w:rsid w:val="00EF5250"/>
    <w:rsid w:val="00EF53CE"/>
    <w:rsid w:val="00EF6409"/>
    <w:rsid w:val="00EF7910"/>
    <w:rsid w:val="00F0049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A03"/>
    <w:rsid w:val="00F13A56"/>
    <w:rsid w:val="00F13F71"/>
    <w:rsid w:val="00F15050"/>
    <w:rsid w:val="00F15189"/>
    <w:rsid w:val="00F15AF3"/>
    <w:rsid w:val="00F1685B"/>
    <w:rsid w:val="00F16A7E"/>
    <w:rsid w:val="00F200CA"/>
    <w:rsid w:val="00F2055D"/>
    <w:rsid w:val="00F20637"/>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F75"/>
    <w:rsid w:val="00F3711D"/>
    <w:rsid w:val="00F37C3A"/>
    <w:rsid w:val="00F37FBB"/>
    <w:rsid w:val="00F4197B"/>
    <w:rsid w:val="00F41A30"/>
    <w:rsid w:val="00F429AD"/>
    <w:rsid w:val="00F42A4F"/>
    <w:rsid w:val="00F43279"/>
    <w:rsid w:val="00F43D3E"/>
    <w:rsid w:val="00F442A9"/>
    <w:rsid w:val="00F454F8"/>
    <w:rsid w:val="00F45B42"/>
    <w:rsid w:val="00F467C2"/>
    <w:rsid w:val="00F46BFD"/>
    <w:rsid w:val="00F47146"/>
    <w:rsid w:val="00F506B6"/>
    <w:rsid w:val="00F5086F"/>
    <w:rsid w:val="00F513E4"/>
    <w:rsid w:val="00F51421"/>
    <w:rsid w:val="00F516CA"/>
    <w:rsid w:val="00F539A0"/>
    <w:rsid w:val="00F53FBB"/>
    <w:rsid w:val="00F549B5"/>
    <w:rsid w:val="00F55F09"/>
    <w:rsid w:val="00F5634A"/>
    <w:rsid w:val="00F56817"/>
    <w:rsid w:val="00F57131"/>
    <w:rsid w:val="00F60383"/>
    <w:rsid w:val="00F616F3"/>
    <w:rsid w:val="00F61EB9"/>
    <w:rsid w:val="00F621F6"/>
    <w:rsid w:val="00F629E8"/>
    <w:rsid w:val="00F62A97"/>
    <w:rsid w:val="00F63AB6"/>
    <w:rsid w:val="00F65E70"/>
    <w:rsid w:val="00F66940"/>
    <w:rsid w:val="00F66C3F"/>
    <w:rsid w:val="00F70206"/>
    <w:rsid w:val="00F70CF3"/>
    <w:rsid w:val="00F710CE"/>
    <w:rsid w:val="00F722EE"/>
    <w:rsid w:val="00F73144"/>
    <w:rsid w:val="00F733CC"/>
    <w:rsid w:val="00F75557"/>
    <w:rsid w:val="00F75798"/>
    <w:rsid w:val="00F75BE9"/>
    <w:rsid w:val="00F75D7F"/>
    <w:rsid w:val="00F7758B"/>
    <w:rsid w:val="00F80305"/>
    <w:rsid w:val="00F805A6"/>
    <w:rsid w:val="00F80D9A"/>
    <w:rsid w:val="00F81BC5"/>
    <w:rsid w:val="00F81C46"/>
    <w:rsid w:val="00F8211A"/>
    <w:rsid w:val="00F82FA5"/>
    <w:rsid w:val="00F8345F"/>
    <w:rsid w:val="00F83561"/>
    <w:rsid w:val="00F85587"/>
    <w:rsid w:val="00F85A4B"/>
    <w:rsid w:val="00F85A94"/>
    <w:rsid w:val="00F85B27"/>
    <w:rsid w:val="00F8720F"/>
    <w:rsid w:val="00F872D0"/>
    <w:rsid w:val="00F87806"/>
    <w:rsid w:val="00F87ABB"/>
    <w:rsid w:val="00F87E82"/>
    <w:rsid w:val="00F87EC0"/>
    <w:rsid w:val="00F904A0"/>
    <w:rsid w:val="00F9056D"/>
    <w:rsid w:val="00F91174"/>
    <w:rsid w:val="00F91318"/>
    <w:rsid w:val="00F9133B"/>
    <w:rsid w:val="00F92B7E"/>
    <w:rsid w:val="00F92D57"/>
    <w:rsid w:val="00F9524A"/>
    <w:rsid w:val="00FA1155"/>
    <w:rsid w:val="00FA11B5"/>
    <w:rsid w:val="00FA2022"/>
    <w:rsid w:val="00FA2467"/>
    <w:rsid w:val="00FA272D"/>
    <w:rsid w:val="00FA290B"/>
    <w:rsid w:val="00FA2C38"/>
    <w:rsid w:val="00FA2EF8"/>
    <w:rsid w:val="00FA37B7"/>
    <w:rsid w:val="00FA42FC"/>
    <w:rsid w:val="00FA448E"/>
    <w:rsid w:val="00FA4DA0"/>
    <w:rsid w:val="00FA5E38"/>
    <w:rsid w:val="00FA6295"/>
    <w:rsid w:val="00FA723F"/>
    <w:rsid w:val="00FB1093"/>
    <w:rsid w:val="00FB1461"/>
    <w:rsid w:val="00FB2D0D"/>
    <w:rsid w:val="00FB3451"/>
    <w:rsid w:val="00FB4417"/>
    <w:rsid w:val="00FB7893"/>
    <w:rsid w:val="00FC22A5"/>
    <w:rsid w:val="00FC277D"/>
    <w:rsid w:val="00FC2ED6"/>
    <w:rsid w:val="00FC3D54"/>
    <w:rsid w:val="00FC41D7"/>
    <w:rsid w:val="00FC4A0B"/>
    <w:rsid w:val="00FC5481"/>
    <w:rsid w:val="00FC65E0"/>
    <w:rsid w:val="00FC70D2"/>
    <w:rsid w:val="00FC74EF"/>
    <w:rsid w:val="00FC7B0D"/>
    <w:rsid w:val="00FD01F5"/>
    <w:rsid w:val="00FD0EC8"/>
    <w:rsid w:val="00FD1AD0"/>
    <w:rsid w:val="00FD2E6D"/>
    <w:rsid w:val="00FD2FFB"/>
    <w:rsid w:val="00FD319A"/>
    <w:rsid w:val="00FD3C10"/>
    <w:rsid w:val="00FD4236"/>
    <w:rsid w:val="00FD498D"/>
    <w:rsid w:val="00FD5B4B"/>
    <w:rsid w:val="00FD5CA0"/>
    <w:rsid w:val="00FD7062"/>
    <w:rsid w:val="00FE1196"/>
    <w:rsid w:val="00FE1946"/>
    <w:rsid w:val="00FE2388"/>
    <w:rsid w:val="00FE30E0"/>
    <w:rsid w:val="00FE3821"/>
    <w:rsid w:val="00FE3C1E"/>
    <w:rsid w:val="00FE4A28"/>
    <w:rsid w:val="00FE5626"/>
    <w:rsid w:val="00FE5630"/>
    <w:rsid w:val="00FE5FD4"/>
    <w:rsid w:val="00FE6BAF"/>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138D25D0-28EF-4912-B810-C059F3A13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16B4B"/>
    <w:pPr>
      <w:widowControl w:val="0"/>
      <w:spacing w:after="120"/>
      <w:jc w:val="both"/>
    </w:pPr>
    <w:rPr>
      <w:rFonts w:ascii="Times New Roman" w:eastAsia="宋体" w:hAnsi="Times New Roman" w:cs="Times New Roman"/>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C33ADE"/>
    <w:pPr>
      <w:keepNext/>
      <w:widowControl/>
      <w:tabs>
        <w:tab w:val="num" w:pos="432"/>
      </w:tabs>
      <w:autoSpaceDE w:val="0"/>
      <w:autoSpaceDN w:val="0"/>
      <w:adjustRightInd w:val="0"/>
      <w:snapToGrid w:val="0"/>
      <w:spacing w:before="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0"/>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unhideWhenUsed/>
    <w:qFormat/>
    <w:rsid w:val="00C32AF4"/>
    <w:pPr>
      <w:keepNext/>
      <w:keepLines/>
      <w:snapToGrid w:val="0"/>
      <w:spacing w:before="260" w:line="415" w:lineRule="auto"/>
      <w:outlineLvl w:val="2"/>
    </w:pPr>
    <w:rPr>
      <w:rFonts w:ascii="Arial" w:hAnsi="Arial"/>
      <w:bCs/>
      <w:sz w:val="24"/>
      <w:szCs w:val="32"/>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link w:val="40"/>
    <w:qFormat/>
    <w:rsid w:val="00C33ADE"/>
    <w:pPr>
      <w:keepNext/>
      <w:widowControl/>
      <w:autoSpaceDE w:val="0"/>
      <w:autoSpaceDN w:val="0"/>
      <w:adjustRightInd w:val="0"/>
      <w:snapToGrid w:val="0"/>
      <w:spacing w:before="120"/>
      <w:ind w:left="720" w:hanging="720"/>
      <w:outlineLvl w:val="3"/>
    </w:pPr>
    <w:rPr>
      <w:b/>
      <w:bCs/>
      <w:kern w:val="0"/>
      <w:sz w:val="22"/>
      <w:szCs w:val="28"/>
      <w:lang w:eastAsia="en-US"/>
    </w:rPr>
  </w:style>
  <w:style w:type="paragraph" w:styleId="5">
    <w:name w:val="heading 5"/>
    <w:aliases w:val="h5,Heading5,Head5,H5,M5,mh2,Module heading 2,heading 8,Numbered Sub-list,Heading 81"/>
    <w:basedOn w:val="a"/>
    <w:next w:val="a"/>
    <w:link w:val="50"/>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
    <w:next w:val="a"/>
    <w:link w:val="60"/>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
    <w:next w:val="a"/>
    <w:link w:val="70"/>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
    <w:next w:val="a"/>
    <w:link w:val="80"/>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
    <w:next w:val="a"/>
    <w:link w:val="90"/>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5618B"/>
    <w:rPr>
      <w:sz w:val="18"/>
      <w:szCs w:val="18"/>
    </w:rPr>
  </w:style>
  <w:style w:type="paragraph" w:styleId="a5">
    <w:name w:val="footer"/>
    <w:basedOn w:val="a"/>
    <w:link w:val="a6"/>
    <w:uiPriority w:val="99"/>
    <w:unhideWhenUsed/>
    <w:rsid w:val="00D5618B"/>
    <w:pPr>
      <w:tabs>
        <w:tab w:val="center" w:pos="4153"/>
        <w:tab w:val="right" w:pos="8306"/>
      </w:tabs>
      <w:snapToGrid w:val="0"/>
      <w:jc w:val="left"/>
    </w:pPr>
    <w:rPr>
      <w:sz w:val="18"/>
      <w:szCs w:val="18"/>
    </w:rPr>
  </w:style>
  <w:style w:type="character" w:customStyle="1" w:styleId="a6">
    <w:name w:val="页脚 字符"/>
    <w:basedOn w:val="a0"/>
    <w:link w:val="a5"/>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7">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8"/>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a9"/>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8">
    <w:name w:val="List"/>
    <w:basedOn w:val="a"/>
    <w:uiPriority w:val="99"/>
    <w:semiHidden/>
    <w:unhideWhenUsed/>
    <w:rsid w:val="00D5618B"/>
    <w:pPr>
      <w:ind w:left="200" w:hangingChars="200" w:hanging="200"/>
      <w:contextualSpacing/>
    </w:p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a"/>
    <w:uiPriority w:val="34"/>
    <w:qFormat/>
    <w:rsid w:val="00D5618B"/>
    <w:pPr>
      <w:ind w:firstLineChars="200" w:firstLine="420"/>
    </w:pPr>
  </w:style>
  <w:style w:type="paragraph" w:styleId="ab">
    <w:name w:val="Balloon Text"/>
    <w:basedOn w:val="a"/>
    <w:link w:val="ac"/>
    <w:uiPriority w:val="99"/>
    <w:semiHidden/>
    <w:unhideWhenUsed/>
    <w:rsid w:val="00D5618B"/>
    <w:rPr>
      <w:sz w:val="18"/>
      <w:szCs w:val="18"/>
    </w:rPr>
  </w:style>
  <w:style w:type="character" w:customStyle="1" w:styleId="ac">
    <w:name w:val="批注框文本 字符"/>
    <w:basedOn w:val="a0"/>
    <w:link w:val="ab"/>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d">
    <w:name w:val="Hyperlink"/>
    <w:uiPriority w:val="99"/>
    <w:unhideWhenUsed/>
    <w:rsid w:val="0087668A"/>
    <w:rPr>
      <w:color w:val="0000FF"/>
      <w:u w:val="single"/>
    </w:rPr>
  </w:style>
  <w:style w:type="table" w:styleId="ae">
    <w:name w:val="Table Grid"/>
    <w:basedOn w:val="a1"/>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nhideWhenUsed/>
    <w:qFormat/>
    <w:rsid w:val="00944882"/>
    <w:rPr>
      <w:sz w:val="21"/>
      <w:szCs w:val="21"/>
    </w:rPr>
  </w:style>
  <w:style w:type="paragraph" w:styleId="af0">
    <w:name w:val="annotation text"/>
    <w:basedOn w:val="a"/>
    <w:link w:val="af1"/>
    <w:unhideWhenUsed/>
    <w:rsid w:val="00944882"/>
    <w:pPr>
      <w:jc w:val="left"/>
    </w:pPr>
  </w:style>
  <w:style w:type="character" w:customStyle="1" w:styleId="af1">
    <w:name w:val="批注文字 字符"/>
    <w:basedOn w:val="a0"/>
    <w:link w:val="af0"/>
    <w:rsid w:val="00944882"/>
    <w:rPr>
      <w:rFonts w:ascii="CG Times (WN)" w:eastAsia="宋体" w:hAnsi="CG Times (WN)" w:cs="Times New Roman"/>
    </w:rPr>
  </w:style>
  <w:style w:type="paragraph" w:styleId="af2">
    <w:name w:val="annotation subject"/>
    <w:basedOn w:val="af0"/>
    <w:next w:val="af0"/>
    <w:link w:val="af3"/>
    <w:uiPriority w:val="99"/>
    <w:semiHidden/>
    <w:unhideWhenUsed/>
    <w:rsid w:val="00944882"/>
    <w:rPr>
      <w:b/>
      <w:bCs/>
    </w:rPr>
  </w:style>
  <w:style w:type="character" w:customStyle="1" w:styleId="af3">
    <w:name w:val="批注主题 字符"/>
    <w:basedOn w:val="af1"/>
    <w:link w:val="af2"/>
    <w:uiPriority w:val="99"/>
    <w:semiHidden/>
    <w:rsid w:val="00944882"/>
    <w:rPr>
      <w:rFonts w:ascii="CG Times (WN)" w:eastAsia="宋体" w:hAnsi="CG Times (WN)" w:cs="Times New Roman"/>
      <w:b/>
      <w:bCs/>
    </w:rPr>
  </w:style>
  <w:style w:type="paragraph" w:styleId="af4">
    <w:name w:val="Document Map"/>
    <w:basedOn w:val="a"/>
    <w:link w:val="af5"/>
    <w:uiPriority w:val="99"/>
    <w:semiHidden/>
    <w:unhideWhenUsed/>
    <w:rsid w:val="00791112"/>
    <w:rPr>
      <w:rFonts w:ascii="宋体"/>
      <w:sz w:val="18"/>
      <w:szCs w:val="18"/>
    </w:rPr>
  </w:style>
  <w:style w:type="character" w:customStyle="1" w:styleId="af5">
    <w:name w:val="文档结构图 字符"/>
    <w:basedOn w:val="a0"/>
    <w:link w:val="af4"/>
    <w:uiPriority w:val="99"/>
    <w:semiHidden/>
    <w:rsid w:val="00791112"/>
    <w:rPr>
      <w:rFonts w:ascii="宋体" w:eastAsia="宋体" w:hAnsi="CG Times (WN)" w:cs="Times New Roman"/>
      <w:sz w:val="18"/>
      <w:szCs w:val="18"/>
    </w:rPr>
  </w:style>
  <w:style w:type="paragraph" w:styleId="af6">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7">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f8"/>
    <w:qFormat/>
    <w:rsid w:val="000F0B4E"/>
    <w:pPr>
      <w:widowControl/>
      <w:spacing w:before="120"/>
      <w:jc w:val="left"/>
    </w:pPr>
    <w:rPr>
      <w:rFonts w:eastAsia="MS Mincho"/>
      <w:b/>
      <w:kern w:val="0"/>
      <w:sz w:val="20"/>
      <w:szCs w:val="20"/>
      <w:lang w:val="en-GB" w:eastAsia="en-US"/>
    </w:rPr>
  </w:style>
  <w:style w:type="character" w:customStyle="1" w:styleId="af8">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7"/>
    <w:rsid w:val="000F0B4E"/>
    <w:rPr>
      <w:rFonts w:ascii="Times New Roman" w:eastAsia="MS Mincho" w:hAnsi="Times New Roman" w:cs="Times New Roman"/>
      <w:b/>
      <w:kern w:val="0"/>
      <w:sz w:val="20"/>
      <w:szCs w:val="20"/>
      <w:lang w:val="en-GB" w:eastAsia="en-US"/>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0"/>
    <w:link w:val="2"/>
    <w:uiPriority w:val="9"/>
    <w:rsid w:val="00A42CA4"/>
    <w:rPr>
      <w:rFonts w:asciiTheme="majorHAnsi" w:eastAsiaTheme="majorEastAsia" w:hAnsiTheme="majorHAnsi" w:cstheme="majorBidi"/>
      <w:b/>
      <w:bCs/>
      <w:sz w:val="32"/>
      <w:szCs w:val="32"/>
    </w:rPr>
  </w:style>
  <w:style w:type="table" w:customStyle="1" w:styleId="11">
    <w:name w:val="网格型1"/>
    <w:basedOn w:val="a1"/>
    <w:next w:val="ae"/>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e"/>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basedOn w:val="a0"/>
    <w:link w:val="3"/>
    <w:rsid w:val="00C32AF4"/>
    <w:rPr>
      <w:rFonts w:ascii="Arial" w:eastAsia="宋体" w:hAnsi="Arial" w:cs="Times New Roman"/>
      <w:bCs/>
      <w:sz w:val="24"/>
      <w:szCs w:val="32"/>
    </w:rPr>
  </w:style>
  <w:style w:type="table" w:customStyle="1" w:styleId="31">
    <w:name w:val="网格型3"/>
    <w:basedOn w:val="a1"/>
    <w:next w:val="ae"/>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rsid w:val="00A318DD"/>
    <w:rPr>
      <w:color w:val="808080"/>
    </w:rPr>
  </w:style>
  <w:style w:type="table" w:customStyle="1" w:styleId="TableGrid1">
    <w:name w:val="Table Grid1"/>
    <w:basedOn w:val="a1"/>
    <w:next w:val="ae"/>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
    <w:basedOn w:val="a0"/>
    <w:link w:val="5"/>
    <w:uiPriority w:val="9"/>
    <w:semiHidden/>
    <w:rsid w:val="00A8105F"/>
    <w:rPr>
      <w:rFonts w:ascii="CG Times (WN)" w:eastAsia="宋体" w:hAnsi="CG Times (WN)" w:cs="Times New Roman"/>
      <w:b/>
      <w:bCs/>
      <w:sz w:val="28"/>
      <w:szCs w:val="28"/>
    </w:rPr>
  </w:style>
  <w:style w:type="table" w:customStyle="1" w:styleId="41">
    <w:name w:val="网格型4"/>
    <w:basedOn w:val="a1"/>
    <w:next w:val="ae"/>
    <w:uiPriority w:val="59"/>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mphasis"/>
    <w:uiPriority w:val="20"/>
    <w:qFormat/>
    <w:rsid w:val="00201567"/>
    <w:rPr>
      <w:i/>
      <w:i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C33ADE"/>
    <w:rPr>
      <w:rFonts w:ascii="Times New Roman" w:eastAsia="宋体" w:hAnsi="Times New Roman" w:cs="Times New Roman"/>
      <w:b/>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3ADE"/>
    <w:rPr>
      <w:rFonts w:ascii="Times New Roman" w:eastAsia="宋体" w:hAnsi="Times New Roman" w:cs="Times New Roman"/>
      <w:b/>
      <w:bCs/>
      <w:kern w:val="0"/>
      <w:sz w:val="22"/>
      <w:szCs w:val="28"/>
      <w:lang w:eastAsia="en-US"/>
    </w:rPr>
  </w:style>
  <w:style w:type="character" w:customStyle="1" w:styleId="60">
    <w:name w:val="标题 6 字符"/>
    <w:aliases w:val="h6 字符,T1 字符,Header 6 字符"/>
    <w:basedOn w:val="a0"/>
    <w:link w:val="6"/>
    <w:rsid w:val="00C33ADE"/>
    <w:rPr>
      <w:rFonts w:ascii="Times New Roman" w:eastAsia="宋体" w:hAnsi="Times New Roman" w:cs="Times New Roman"/>
      <w:b/>
      <w:bCs/>
      <w:kern w:val="0"/>
      <w:sz w:val="22"/>
      <w:lang w:eastAsia="en-US"/>
    </w:rPr>
  </w:style>
  <w:style w:type="character" w:customStyle="1" w:styleId="70">
    <w:name w:val="标题 7 字符"/>
    <w:basedOn w:val="a0"/>
    <w:link w:val="7"/>
    <w:rsid w:val="00C33ADE"/>
    <w:rPr>
      <w:rFonts w:ascii="Times New Roman" w:eastAsia="宋体" w:hAnsi="Times New Roman" w:cs="Times New Roman"/>
      <w:kern w:val="0"/>
      <w:sz w:val="24"/>
      <w:szCs w:val="24"/>
      <w:lang w:eastAsia="en-US"/>
    </w:rPr>
  </w:style>
  <w:style w:type="character" w:customStyle="1" w:styleId="80">
    <w:name w:val="标题 8 字符"/>
    <w:basedOn w:val="a0"/>
    <w:link w:val="8"/>
    <w:rsid w:val="00C33ADE"/>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rsid w:val="00C33ADE"/>
    <w:rPr>
      <w:rFonts w:ascii="Arial" w:eastAsia="宋体" w:hAnsi="Arial" w:cs="Arial"/>
      <w:kern w:val="0"/>
      <w:sz w:val="22"/>
      <w:lang w:eastAsia="en-US"/>
    </w:rPr>
  </w:style>
  <w:style w:type="paragraph" w:styleId="afb">
    <w:name w:val="Title"/>
    <w:basedOn w:val="a"/>
    <w:next w:val="a"/>
    <w:link w:val="afc"/>
    <w:uiPriority w:val="10"/>
    <w:qFormat/>
    <w:rsid w:val="00C33ADE"/>
    <w:pPr>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uiPriority w:val="10"/>
    <w:rsid w:val="00C33ADE"/>
    <w:rPr>
      <w:rFonts w:asciiTheme="majorHAnsi" w:eastAsiaTheme="majorEastAsia" w:hAnsiTheme="majorHAnsi" w:cstheme="majorBidi"/>
      <w:spacing w:val="-10"/>
      <w:kern w:val="28"/>
      <w:sz w:val="56"/>
      <w:szCs w:val="56"/>
    </w:rPr>
  </w:style>
  <w:style w:type="paragraph" w:styleId="afd">
    <w:name w:val="Subtitle"/>
    <w:basedOn w:val="a"/>
    <w:next w:val="a"/>
    <w:link w:val="afe"/>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e">
    <w:name w:val="副标题 字符"/>
    <w:basedOn w:val="a0"/>
    <w:link w:val="afd"/>
    <w:uiPriority w:val="11"/>
    <w:rsid w:val="00C33ADE"/>
    <w:rPr>
      <w:color w:val="5A5A5A" w:themeColor="text1" w:themeTint="A5"/>
      <w:spacing w:val="15"/>
      <w:sz w:val="22"/>
    </w:rPr>
  </w:style>
  <w:style w:type="table" w:customStyle="1" w:styleId="51">
    <w:name w:val="网格型5"/>
    <w:basedOn w:val="a1"/>
    <w:next w:val="ae"/>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basedOn w:val="a"/>
    <w:rsid w:val="00CF57AF"/>
    <w:pPr>
      <w:keepLines/>
      <w:widowControl/>
      <w:spacing w:after="240"/>
      <w:jc w:val="center"/>
    </w:pPr>
    <w:rPr>
      <w:rFonts w:ascii="Arial" w:eastAsia="Times New Roman" w:hAnsi="Arial"/>
      <w:b/>
      <w:kern w:val="0"/>
      <w:sz w:val="20"/>
      <w:szCs w:val="20"/>
      <w:lang w:val="en-GB" w:eastAsia="ko-KR"/>
    </w:rPr>
  </w:style>
  <w:style w:type="paragraph" w:styleId="aff">
    <w:name w:val="Revision"/>
    <w:hidden/>
    <w:uiPriority w:val="99"/>
    <w:semiHidden/>
    <w:rsid w:val="00F200CA"/>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41372291">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 w:id="1261066843">
          <w:marLeft w:val="547"/>
          <w:marRight w:val="0"/>
          <w:marTop w:val="360"/>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1564411060">
          <w:marLeft w:val="360"/>
          <w:marRight w:val="0"/>
          <w:marTop w:val="200"/>
          <w:marBottom w:val="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280577828">
          <w:marLeft w:val="1080"/>
          <w:marRight w:val="0"/>
          <w:marTop w:val="1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710347907">
          <w:marLeft w:val="360"/>
          <w:marRight w:val="0"/>
          <w:marTop w:val="2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684865128">
          <w:marLeft w:val="446"/>
          <w:marRight w:val="0"/>
          <w:marTop w:val="0"/>
          <w:marBottom w:val="0"/>
          <w:divBdr>
            <w:top w:val="none" w:sz="0" w:space="0" w:color="auto"/>
            <w:left w:val="none" w:sz="0" w:space="0" w:color="auto"/>
            <w:bottom w:val="none" w:sz="0" w:space="0" w:color="auto"/>
            <w:right w:val="none" w:sz="0" w:space="0" w:color="auto"/>
          </w:divBdr>
        </w:div>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27072878">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 w:id="1617056451">
          <w:marLeft w:val="360"/>
          <w:marRight w:val="0"/>
          <w:marTop w:val="2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DBCEF-F59E-4A01-BC49-831485237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2138</Words>
  <Characters>12191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hudan11@huawei.com</dc:creator>
  <cp:keywords/>
  <dc:description/>
  <cp:lastModifiedBy>Huawei</cp:lastModifiedBy>
  <cp:revision>11</cp:revision>
  <dcterms:created xsi:type="dcterms:W3CDTF">2023-06-05T09:18:00Z</dcterms:created>
  <dcterms:modified xsi:type="dcterms:W3CDTF">2023-06-05T16:08:00Z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(3)dY5aQPAkwRKlF45CzvlSTt4IyJ8teQFGyCoqX9VMOxzB84iniUX+JQoKEMiu/5bzAxuL7/g/
cjA2llJLVSiBP8q0Sfo9uIOk0xbafukDUibf53F5nEqZqFwVhHDBGOuInBnC99em2yyffJNM
ZSpuG0sUKsqpCRvgNlU8Y4ftPYXAU5wlQxwYSU+yTHc9KUFwcYMB4pccdSulRnHWsYMhiwtg
CHmHPCA96r/57vW0sQ</vt:lpwstr>
  </property>
  <property fmtid="{D5CDD505-2E9C-101B-9397-08002B2CF9AE}" pid="3" name="_2015_ms_pID_7253431">
    <vt:lpwstr>QNc8XHsOWdFIXvhUS/A2EmFPfEcUat9T0v0oVl25E3cP94EhZ2cpZU
Qqrp4KzhCtjrDw2SY80rQrx1kl/Kmv/0Uk5rHD9IQrQdxcHdBR+HZdUnTGF97eIgHcDk2A/n
R0bPCNbcDq0cv7gfQ+NO7+LHsY2XaBy0UN225Z3Fx3UfVSk3YlujWBYlB+5/bcVng+AVoZO+
4GsKvVVs5ehqzgFbJq1LyVkjo/c86/hprABU</vt:lpwstr>
  </property>
  <property fmtid="{D5CDD505-2E9C-101B-9397-08002B2CF9AE}" pid="4" name="_2015_ms_pID_7253432">
    <vt:lpwstr>PvhQSVeQd6nY1ADwqi2k2ns=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1685953546</vt:lpwstr>
  </property>
</Properties>
</file>